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Kitab Daniel - Nombor Lapan Puluh Empat</w:t>
      </w:r>
    </w:p>
    <w:p>
      <w:pPr>
        <w:pStyle w:val="ArticleSubtitle"/>
        <w:jc w:val="left"/>
      </w:pPr>
      <w:r>
        <w:rPr>
          <w:rFonts w:ascii="Arial" w:hAnsi="Arial" w:eastAsia="Arial" w:cs="Arial"/>
        </w:rPr>
        <w:t>Mendedahkan Empat Generasi Adventisme Laodikia: Suatu Perjalanan Melalui Paralelisme Alkitabiah dan Ujian Kenabian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2024-02-17</w:t>
      </w:r>
    </w:p>
    <w:p>
      <w:pPr>
        <w:pStyle w:val="ArticleBody"/>
        <w:jc w:val="left"/>
      </w:pPr>
      <w:r>
        <w:rPr>
          <w:rFonts w:ascii="Times New Roman" w:hAnsi="Times New Roman" w:eastAsia="Times New Roman" w:cs="Times New Roman"/>
        </w:rPr>
        <w:t>Ndziyiso wu tiyisiwa hi vumbhoni bya vambirhi kumbe vanharhu, naswona ku tirhisa manyala ya mune ya Ezekiele ndzima ya nhungu, tanihi tinxaka ta mune ta Vuhaxi bya Lavhodikiya bya Vaadiventa, swi ni timbhoni to hlayanyana. Eka swihloko swa le mahlweni ku kombisiwile leswaku tikereke ta nkombo ta Nhlavutelo tindzima ta vumbirhi ni ta vunharhu a ti yimeli ntsena matimu ya Israyele wa manguva lawa ku sukela enkarhini wa vaapostola ku ya fika emakumu ya misava, kambe ni leswaku tikereke teto ta nkombo a ti yimela matimu ya Israyele wa khale ku sukela enkarhini wa Muxe ku ya fika enkarhini wa Kriste.</w:t>
      </w:r>
    </w:p>
    <w:p>
      <w:pPr>
        <w:pStyle w:val="ArticleBody"/>
        <w:jc w:val="left"/>
      </w:pPr>
      <w:r>
        <w:rPr>
          <w:rFonts w:ascii="Times New Roman" w:hAnsi="Times New Roman" w:eastAsia="Times New Roman" w:cs="Times New Roman"/>
        </w:rPr>
        <w:t>Chọọchị Efesọs nọchiri anya ma Chọọchị Ndị Kraịst nke mbụ, ma kwa Izrel oge ochie site n’oge Mozis ruo n’oge Ndị Ikpe. Chọọchị Smaina nọchiri anya oge mkpagbu site n’oge ndị na-eso ụzọ Kraịst ruo n’oge eze ukwu Rom, Constantine, ma kwa oge Ndị Ikpe, mgbe onye ọ bụla na-eme ihe ziri ezi n’anya nke ya. Chọọchị Pegamọs nọchiri anya oge nkwekọrịta na ime ndumọrịta site n’oge Constantine ruo n’oge ọchịchị popu na 538, ma kwa oge Izrel oge ochie jụrụ Chineke họrọ eze, ma nọgide na-eme ndumọrịta na alaeze ndị ọgọ mmụọ gbara ha gburugburu. Chọọchị nke anọ, Taịataira, nke Jezebel nọchiri anya, bụ oge ọchịchị popu site n’afọ 538 ruo 1798, ma kwa afọ iri asaa nke ndọrọ n’agha nke Izrel oge ochie na Babilọn.</w:t>
      </w:r>
    </w:p>
    <w:p>
      <w:pPr>
        <w:pStyle w:val="ArticleBody"/>
        <w:jc w:val="left"/>
      </w:pPr>
      <w:r>
        <w:rPr>
          <w:rFonts w:ascii="Times New Roman" w:hAnsi="Times New Roman" w:eastAsia="Times New Roman" w:cs="Times New Roman"/>
        </w:rPr>
        <w:t>Gereja-gereja yang empat itu juga melambangkan empat generasi Adventisme, dan memberikan kesaksian bagi penerapan empat kekejian Yehezkiel kepada keempat generasi itu. Pemberontakan tahun 1863 dilambangkan oleh generasi pertama Israel purba, sebagaimana diperlihatkan oleh pemberontakan anak lembu emas Harun. Generasi pertama itu mencakup nasihat yang diberikan kepada jemaat Efesus, yang menunjukkan bahwa umat Allah telah meninggalkan kasih mereka yang semula, dan perlu bertobat serta kembali kepada kasih mereka yang semula. Pada tahun 1863, kasih yang semula itu, sebagaimana dilambangkan oleh permata-permata William Miller (kebenaran-kebenaran dasar, khususnya “tujuh masa”), telah dikesampingkan, dan umat Allah dinasihati untuk kembali.</w:t>
      </w:r>
    </w:p>
    <w:p>
      <w:pPr>
        <w:pStyle w:val="ArticleScripture"/>
        <w:jc w:val="left"/>
      </w:pPr>
      <w:r>
        <w:rPr>
          <w:rFonts w:ascii="Times New Roman" w:hAnsi="Times New Roman" w:eastAsia="Times New Roman" w:cs="Times New Roman"/>
        </w:rPr>
        <w:t>Namun Aku mempunyai sedikit keberatan terhadap engkau, karena engkau telah meninggalkan kasihmu yang mula-mula. Sebab itu ingatlah dari mana engkau telah jatuh, dan bertobatlah, serta lakukanlah pekerjaan-pekerjaan yang mula-mula; jika tidak, Aku akan segera datang kepadamu dan akan mengambil kaki dianmu dari tempatnya, jikalau engkau tidak bertobat. Wahyu 2:4, 5.</w:t>
      </w:r>
    </w:p>
    <w:p>
      <w:pPr>
        <w:pStyle w:val="ArticleBody"/>
        <w:jc w:val="left"/>
      </w:pPr>
      <w:r>
        <w:rPr>
          <w:rFonts w:ascii="Times New Roman" w:hAnsi="Times New Roman" w:eastAsia="Times New Roman" w:cs="Times New Roman"/>
        </w:rPr>
        <w:t>Bang Millerites biara ihzawknak Protestant hnamdangte nen an buai a; chubâng mi chu Jeremiah-in “mi nuihsakna hruai khâwma” tia a koh a ni. Ani chu an hmuhtîr dân ang zêlin hmuhtîrna chu lo thleng tûr an nghâkhlel lo va, an hrilhfiahna chu a lo thleng hian dâwt a sawi lo vang. “Mi nuihsakna hruai khâwma” chu Judah ram zawlnei hnêna dâwt sawi zawlnei hlui kha an entîr a ni; chu zawlnei Judah rama mi chuan Jeroboam-a biakna dâwt chu a hauhna a puang tawh a ni.</w:t>
      </w:r>
    </w:p>
    <w:p>
      <w:pPr>
        <w:pStyle w:val="ArticleScripture"/>
        <w:jc w:val="left"/>
      </w:pPr>
      <w:r>
        <w:rPr>
          <w:rFonts w:ascii="Times New Roman" w:hAnsi="Times New Roman" w:eastAsia="Times New Roman" w:cs="Times New Roman"/>
        </w:rPr>
        <w:t>Ndzi tiva mintirho ya wena, ni ntirho wa wena wo tika, ni ku lehisa mbilu ka wena, ni leswaku a wu koti ku tiyisela lava endlaka leswo biha; naswona u ringile lava vulaka leswaku i vaapostola, kambe va nga ri swona, kutani u va kumile va ri vahembi: U tiyiserile, naswona u ni ku lehisa mbilu, naswona hikwalaho ka vito ra mina u tirhile hi matimba, naswona a wu karhalanga. Nhlavutelo 2:2, 3.</w:t>
      </w:r>
    </w:p>
    <w:p>
      <w:pPr>
        <w:pStyle w:val="ArticleBody"/>
        <w:jc w:val="left"/>
      </w:pPr>
      <w:r>
        <w:rPr>
          <w:rFonts w:ascii="Times New Roman" w:hAnsi="Times New Roman" w:eastAsia="Times New Roman" w:cs="Times New Roman"/>
        </w:rPr>
        <w:t>Kereke ea bobeli ea Simirina e ne e emela nako ea mahloriso ka kerekeng ea pele ea Bokreste, e neng e akarelletsa bashoela-tumelo ba ’nete le ba bang ba ileng ba itlisetsa mahloriso ka lebaka la maikemisetso a seng a halalelang ka botlalo. E ne e boetse e emela nako ea Baahloli, ha e mong le e mong Iseraeleng ea boholo-holo a ne a etsa seo se neng se bonahala se lokile mahlong a hae. Moloko oa borabele o qalileng ka 1888 o ile oa tšoaea nako ea mahloriso khahlanong le Moya oa Boporofeta, manqosa a khethiloeng a nako eo, le Moya o Halalelang. O ile oa hlahisa nako eo ka eona banna ba boholo-holo ba Bo-Adventiste ba Laodisea ba ileng ba khetha ho etsa seo se neng se bonahala se lokile mahlong a bona, joalokaha ho pakoa ke banna ba kang Kellogg, Prescott le Daniells.</w:t>
      </w:r>
    </w:p>
    <w:p>
      <w:pPr>
        <w:pStyle w:val="ArticleBody"/>
        <w:jc w:val="left"/>
      </w:pPr>
      <w:r>
        <w:rPr>
          <w:rFonts w:ascii="Times New Roman" w:hAnsi="Times New Roman" w:eastAsia="Times New Roman" w:cs="Times New Roman"/>
        </w:rPr>
        <w:t>Итгэмжит цөөнх тэр үед өөрсдийгөө Иудей хэмээн мэдүүлдэг атлаа тийм биш байсан нэгэн бүлэгтэй амь насны хэмжээнд хүрсэн сүнслэг тулалдаанд оролцох ёстой байв. Удирдах байр суурь эзэлж байсан хэдий ч, Тэнгэрээс хөөгдөн гарсан “тэнгэрэлчүүдээр” зарим нь удирдуулж байсан хэмээн Эгч Уайт гэрчилснээр, тэд Сатаны синагогийнх байлаа. Тэд өөрсдийгөө мэргэн хэмээн мэдүүлж байсан боловч мунхаг байв. Тэр цаг үед мэргэн хүмүүст ямар ч яллалт оноогдоогүй, харин үхтлээ итгэлтэй байх урамшуулал өгөгдсөн юм. 1915 онд Эгч Уайтын хэлсэн хамгийн сүүлчийн үг нь: “Би хэнд итгэснээ мэднэ” байсан бөгөөд, учир нь тэрээр үхтлээ итгэлтэй байсан билээ.</w:t>
      </w:r>
    </w:p>
    <w:p>
      <w:pPr>
        <w:pStyle w:val="ArticleScripture"/>
        <w:jc w:val="left"/>
      </w:pPr>
      <w:r>
        <w:rPr>
          <w:rFonts w:ascii="Times New Roman" w:hAnsi="Times New Roman" w:eastAsia="Times New Roman" w:cs="Times New Roman"/>
        </w:rPr>
        <w:t>Ndzi tiva mintirho ya wena, ni nhlomulo, ni vusweti, (kambe u fumile) naswona ndzi tiva ni ku sandza ka lava vulaka leswaku i Vayuda, kasi a hi vona, kambe i sinagoga ya Sathana. U nga chavi nchumu eka swilo leswi u nga ta xaniseka ha swona: waswivo, diyavulosi u ta hoxa van’wana va n’wina ekhotsweni, leswaku mi ringiwa; naswona mi ta va ni nhlomulo masiku ya khume: tshembeka ku ya fika eku feni, kutani ndzi ta ku nyika harhi ya vutomi. Nhlavutelo 2:9, 10.</w:t>
      </w:r>
    </w:p>
    <w:p>
      <w:pPr>
        <w:pStyle w:val="ArticleBody"/>
        <w:jc w:val="left"/>
      </w:pPr>
      <w:r>
        <w:rPr>
          <w:rFonts w:ascii="Times New Roman" w:hAnsi="Times New Roman" w:eastAsia="Times New Roman" w:cs="Times New Roman"/>
        </w:rPr>
        <w:t>Gereja Pergamos melambangkan kompromi antara kebenaran dengan kesesatan, antara paganisme dengan Kekristenan, pada zaman kaisar Konstantinus, dan juga kompromi Israel purba yang terjadi dalam sejarah para raja. Ia melambangkan percampuran kebenaran dengan kesesatan, yang hanya dapat menghasilkan kesesatan. Hal itu dilambangkan oleh konferensi Alkitab tahun 1919, yang melaluinya penerbitan buku, “The Doctrine of Christ”, diadakan untuk menciptakan suatu pekabaran Advent yang lebih dekat mencerminkan injil palsu Protestanisme murtad. Pada generasi ketiga Adventisme itulah kompromi-kompromi besar terhadap kebenaran terjadi.</w:t>
      </w:r>
    </w:p>
    <w:p>
      <w:pPr>
        <w:pStyle w:val="ArticleBody"/>
        <w:jc w:val="left"/>
      </w:pPr>
      <w:r>
        <w:rPr>
          <w:rFonts w:ascii="Times New Roman" w:hAnsi="Times New Roman" w:eastAsia="Times New Roman" w:cs="Times New Roman"/>
        </w:rPr>
        <w:t>E ne e le molokong oo, ho qala ka 1919, moo kereke e ileng ea qala boikamahanyo bo ileng ba hlahisa Church Manual. E ne e le molokong oo, ho qala ka 1919, moo kereke e ileng ea qala boikamahanyo bo ileng ba hloka tumello ea molao likolong tsa bophelo bo botle le tsa bolumeli ka bobeli. E ne e le molokong oo moo ho ileng ha qalisoa phetoho e lebisang Libibeleng tsa sejoale-joale tse thehiloeng Bok’hatholikeng. E ne e le historing eo moo ho ileng ha bonahala boikemisetso ba boetapele ba ho theha likamano le mebuso e neng e le khahlanong le Bokreste pepeneneng.</w:t>
      </w:r>
    </w:p>
    <w:p>
      <w:pPr>
        <w:pStyle w:val="ArticleBody"/>
        <w:jc w:val="left"/>
      </w:pPr>
      <w:r>
        <w:rPr>
          <w:rFonts w:ascii="Times New Roman" w:hAnsi="Times New Roman" w:eastAsia="Times New Roman" w:cs="Times New Roman"/>
        </w:rPr>
        <w:t>Lelwata leo le ne le tswaletswe mo bonyaneng jwa lone mo nakong ya Ntwa ya Selegae, fa boeteledipele jwa Laodikia bo ne bo tlhoma kamano ya semolao le puso ya United States, gore go nne le ditlamorago tse di botoka mo makau a kereke a a neng a tshwanetse go bidiwa go ya mo ntweng e e bolayang go gaisa tsotlhe mo hisitoring ya Amerika; bo ne jwa bo boelediwa kwa tshimologong ya Ntwa ya Lefatshe ya Ntlha, fa tautona wa General Conference, A. G. Daniells, a ne a dirisana le puso ya Jeremane, a e naya tetla ya gagwe gore Jeremane e biledise makau go ya go direla sesole ka pateletso, le go rwala dibetsa, le go se tlhokomele Sabata. Kgato eo ya ga Daniells e ne ya tlisa karogano e e neng ya tsala dikarogano tse di farologaneng tsa mokgatlho wa Phetogo wa Seventh-day Adventist tse di ntseng di le teng go fitlha gompieno.</w:t>
      </w:r>
    </w:p>
    <w:p>
      <w:pPr>
        <w:pStyle w:val="ArticleBody"/>
        <w:jc w:val="left"/>
      </w:pPr>
      <w:r>
        <w:rPr>
          <w:rFonts w:ascii="Times New Roman" w:hAnsi="Times New Roman" w:eastAsia="Times New Roman" w:cs="Times New Roman"/>
        </w:rPr>
        <w:t>Kompromi itu berlanjut pada zaman Jerman Nazi di bawah Hitler, dan sesudah itu pada bangsa-bangsa yang membentuk Uni Soviet, dan hingga hari ini masih dipertahankan dalam rezim-rezim seperti Tiongkok. Kompromi generasi ketiga dalam hubungannya dengan kenegaraan telah dilambangkan oleh kompromi raja-raja Israel kuno dan Konstantinus, sebagaimana disimbolkan dalam jemaat Pergamus. Masa itu juga melambangkan kompromi tata gerejanya dengan injil palsu tentang damai dan aman, yang diwakili oleh “The Doctrine of Christ” karya Prescott.</w:t>
      </w:r>
    </w:p>
    <w:p>
      <w:pPr>
        <w:pStyle w:val="ArticleScripture"/>
        <w:jc w:val="left"/>
      </w:pPr>
      <w:r>
        <w:rPr>
          <w:rFonts w:ascii="Times New Roman" w:hAnsi="Times New Roman" w:eastAsia="Times New Roman" w:cs="Times New Roman"/>
        </w:rPr>
        <w:t>Ndzi tiva mintirho ya wena ni laha u tshamaka kona, laha xiluvelo xa Sathana xi nga kona; naswona u khoma vito ra mina hi ku tiya, naswona a wu landzulanga ripfumelo ra mina, ni le masiku wolawo lawa Antipasi a ri mufi wa mina wo tshembeka, loyi a dlayiweke exikarhi ka n’wina, laha Sathana a tshamaka kona. Kambe ndzi ni swilo swi nga ri swingani leswi ndzi lwisanaka na wena hikwalaho ka leswi u nga ni lava khomelaka dyondzo ya Balami, loyi a dyondziseke Balaki ku veka xikhunguvanyiso emahlweni ka vana va Israele, leswaku va dya swilo leswi nyiketeriweke swikwembu swa hava, ni ku endla vugangu. Nhlavutelo 2:13, 14.</w:t>
      </w:r>
    </w:p>
    <w:p>
      <w:pPr>
        <w:pStyle w:val="ArticleBody"/>
        <w:jc w:val="left"/>
      </w:pPr>
      <w:r>
        <w:rPr>
          <w:rFonts w:ascii="Nirmala UI" w:hAnsi="Nirmala UI" w:eastAsia="Nirmala UI" w:cs="Nirmala UI"/>
        </w:rPr>
        <w:t>உடலுறவு</w:t>
      </w:r>
      <w:r>
        <w:rPr>
          <w:rFonts w:ascii="Times New Roman" w:hAnsi="Times New Roman" w:eastAsia="Times New Roman" w:cs="Times New Roman"/>
        </w:rPr>
        <w:t xml:space="preserve"> </w:t>
      </w:r>
      <w:r>
        <w:rPr>
          <w:rFonts w:ascii="Nirmala UI" w:hAnsi="Nirmala UI" w:eastAsia="Nirmala UI" w:cs="Nirmala UI"/>
        </w:rPr>
        <w:t>விபச்சாரம்</w:t>
      </w:r>
      <w:r>
        <w:rPr>
          <w:rFonts w:ascii="Times New Roman" w:hAnsi="Times New Roman" w:eastAsia="Times New Roman" w:cs="Times New Roman"/>
        </w:rPr>
        <w:t xml:space="preserve"> </w:t>
      </w:r>
      <w:r>
        <w:rPr>
          <w:rFonts w:ascii="Nirmala UI" w:hAnsi="Nirmala UI" w:eastAsia="Nirmala UI" w:cs="Nirmala UI"/>
        </w:rPr>
        <w:t>என்பது</w:t>
      </w:r>
      <w:r>
        <w:rPr>
          <w:rFonts w:ascii="Times New Roman" w:hAnsi="Times New Roman" w:eastAsia="Times New Roman" w:cs="Times New Roman"/>
        </w:rPr>
        <w:t xml:space="preserve">, </w:t>
      </w:r>
      <w:r>
        <w:rPr>
          <w:rFonts w:ascii="Nirmala UI" w:hAnsi="Nirmala UI" w:eastAsia="Nirmala UI" w:cs="Nirmala UI"/>
        </w:rPr>
        <w:t>அவசியமான</w:t>
      </w:r>
      <w:r>
        <w:rPr>
          <w:rFonts w:ascii="Times New Roman" w:hAnsi="Times New Roman" w:eastAsia="Times New Roman" w:cs="Times New Roman"/>
        </w:rPr>
        <w:t xml:space="preserve"> </w:t>
      </w:r>
      <w:r>
        <w:rPr>
          <w:rFonts w:ascii="Nirmala UI" w:hAnsi="Nirmala UI" w:eastAsia="Nirmala UI" w:cs="Nirmala UI"/>
        </w:rPr>
        <w:t>பணிச்சார்ந்த</w:t>
      </w:r>
      <w:r>
        <w:rPr>
          <w:rFonts w:ascii="Times New Roman" w:hAnsi="Times New Roman" w:eastAsia="Times New Roman" w:cs="Times New Roman"/>
        </w:rPr>
        <w:t xml:space="preserve"> </w:t>
      </w:r>
      <w:r>
        <w:rPr>
          <w:rFonts w:ascii="Nirmala UI" w:hAnsi="Nirmala UI" w:eastAsia="Nirmala UI" w:cs="Nirmala UI"/>
        </w:rPr>
        <w:t>உறவுகளைப்</w:t>
      </w:r>
      <w:r>
        <w:rPr>
          <w:rFonts w:ascii="Times New Roman" w:hAnsi="Times New Roman" w:eastAsia="Times New Roman" w:cs="Times New Roman"/>
        </w:rPr>
        <w:t xml:space="preserve"> </w:t>
      </w:r>
      <w:r>
        <w:rPr>
          <w:rFonts w:ascii="Nirmala UI" w:hAnsi="Nirmala UI" w:eastAsia="Nirmala UI" w:cs="Nirmala UI"/>
        </w:rPr>
        <w:t>பேணுதல்</w:t>
      </w:r>
      <w:r>
        <w:rPr>
          <w:rFonts w:ascii="Times New Roman" w:hAnsi="Times New Roman" w:eastAsia="Times New Roman" w:cs="Times New Roman"/>
        </w:rPr>
        <w:t xml:space="preserve"> </w:t>
      </w:r>
      <w:r>
        <w:rPr>
          <w:rFonts w:ascii="Nirmala UI" w:hAnsi="Nirmala UI" w:eastAsia="Nirmala UI" w:cs="Nirmala UI"/>
        </w:rPr>
        <w:t>என்ற</w:t>
      </w:r>
      <w:r>
        <w:rPr>
          <w:rFonts w:ascii="Times New Roman" w:hAnsi="Times New Roman" w:eastAsia="Times New Roman" w:cs="Times New Roman"/>
        </w:rPr>
        <w:t xml:space="preserve"> </w:t>
      </w:r>
      <w:r>
        <w:rPr>
          <w:rFonts w:ascii="Nirmala UI" w:hAnsi="Nirmala UI" w:eastAsia="Nirmala UI" w:cs="Nirmala UI"/>
        </w:rPr>
        <w:t>முன்னெச்சரிக்கையின்</w:t>
      </w:r>
      <w:r>
        <w:rPr>
          <w:rFonts w:ascii="Times New Roman" w:hAnsi="Times New Roman" w:eastAsia="Times New Roman" w:cs="Times New Roman"/>
        </w:rPr>
        <w:t xml:space="preserve"> </w:t>
      </w:r>
      <w:r>
        <w:rPr>
          <w:rFonts w:ascii="Nirmala UI" w:hAnsi="Nirmala UI" w:eastAsia="Nirmala UI" w:cs="Nirmala UI"/>
        </w:rPr>
        <w:t>பெயரில்</w:t>
      </w:r>
      <w:r>
        <w:rPr>
          <w:rFonts w:ascii="Times New Roman" w:hAnsi="Times New Roman" w:eastAsia="Times New Roman" w:cs="Times New Roman"/>
        </w:rPr>
        <w:t xml:space="preserve">, </w:t>
      </w:r>
      <w:r>
        <w:rPr>
          <w:rFonts w:ascii="Nirmala UI" w:hAnsi="Nirmala UI" w:eastAsia="Nirmala UI" w:cs="Nirmala UI"/>
        </w:rPr>
        <w:t>நாசி</w:t>
      </w:r>
      <w:r>
        <w:rPr>
          <w:rFonts w:ascii="Times New Roman" w:hAnsi="Times New Roman" w:eastAsia="Times New Roman" w:cs="Times New Roman"/>
        </w:rPr>
        <w:t xml:space="preserve"> </w:t>
      </w:r>
      <w:r>
        <w:rPr>
          <w:rFonts w:ascii="Nirmala UI" w:hAnsi="Nirmala UI" w:eastAsia="Nirmala UI" w:cs="Nirmala UI"/>
        </w:rPr>
        <w:t>ஜெர்மனியும்</w:t>
      </w:r>
      <w:r>
        <w:rPr>
          <w:rFonts w:ascii="Times New Roman" w:hAnsi="Times New Roman" w:eastAsia="Times New Roman" w:cs="Times New Roman"/>
        </w:rPr>
        <w:t xml:space="preserve"> </w:t>
      </w:r>
      <w:r>
        <w:rPr>
          <w:rFonts w:ascii="Nirmala UI" w:hAnsi="Nirmala UI" w:eastAsia="Nirmala UI" w:cs="Nirmala UI"/>
        </w:rPr>
        <w:t>சோவியத்</w:t>
      </w:r>
      <w:r>
        <w:rPr>
          <w:rFonts w:ascii="Times New Roman" w:hAnsi="Times New Roman" w:eastAsia="Times New Roman" w:cs="Times New Roman"/>
        </w:rPr>
        <w:t xml:space="preserve"> </w:t>
      </w:r>
      <w:r>
        <w:rPr>
          <w:rFonts w:ascii="Nirmala UI" w:hAnsi="Nirmala UI" w:eastAsia="Nirmala UI" w:cs="Nirmala UI"/>
        </w:rPr>
        <w:t>யூனியனும்</w:t>
      </w:r>
      <w:r>
        <w:rPr>
          <w:rFonts w:ascii="Times New Roman" w:hAnsi="Times New Roman" w:eastAsia="Times New Roman" w:cs="Times New Roman"/>
        </w:rPr>
        <w:t xml:space="preserve"> </w:t>
      </w:r>
      <w:r>
        <w:rPr>
          <w:rFonts w:ascii="Nirmala UI" w:hAnsi="Nirmala UI" w:eastAsia="Nirmala UI" w:cs="Nirmala UI"/>
        </w:rPr>
        <w:t>போன்ற</w:t>
      </w:r>
      <w:r>
        <w:rPr>
          <w:rFonts w:ascii="Times New Roman" w:hAnsi="Times New Roman" w:eastAsia="Times New Roman" w:cs="Times New Roman"/>
        </w:rPr>
        <w:t xml:space="preserve"> </w:t>
      </w:r>
      <w:r>
        <w:rPr>
          <w:rFonts w:ascii="Nirmala UI" w:hAnsi="Nirmala UI" w:eastAsia="Nirmala UI" w:cs="Nirmala UI"/>
        </w:rPr>
        <w:t>ஜாதிகளோடு</w:t>
      </w:r>
      <w:r>
        <w:rPr>
          <w:rFonts w:ascii="Times New Roman" w:hAnsi="Times New Roman" w:eastAsia="Times New Roman" w:cs="Times New Roman"/>
        </w:rPr>
        <w:t xml:space="preserve"> </w:t>
      </w:r>
      <w:r>
        <w:rPr>
          <w:rFonts w:ascii="Nirmala UI" w:hAnsi="Nirmala UI" w:eastAsia="Nirmala UI" w:cs="Nirmala UI"/>
        </w:rPr>
        <w:t>தங்களை</w:t>
      </w:r>
      <w:r>
        <w:rPr>
          <w:rFonts w:ascii="Times New Roman" w:hAnsi="Times New Roman" w:eastAsia="Times New Roman" w:cs="Times New Roman"/>
        </w:rPr>
        <w:t xml:space="preserve"> </w:t>
      </w:r>
      <w:r>
        <w:rPr>
          <w:rFonts w:ascii="Nirmala UI" w:hAnsi="Nirmala UI" w:eastAsia="Nirmala UI" w:cs="Nirmala UI"/>
        </w:rPr>
        <w:t>ஒத்திசைத்துக்கொண்ட</w:t>
      </w:r>
      <w:r>
        <w:rPr>
          <w:rFonts w:ascii="Times New Roman" w:hAnsi="Times New Roman" w:eastAsia="Times New Roman" w:cs="Times New Roman"/>
        </w:rPr>
        <w:t xml:space="preserve"> </w:t>
      </w:r>
      <w:r>
        <w:rPr>
          <w:rFonts w:ascii="Nirmala UI" w:hAnsi="Nirmala UI" w:eastAsia="Nirmala UI" w:cs="Nirmala UI"/>
        </w:rPr>
        <w:t>பொதுக்கூட்டத்தின்</w:t>
      </w:r>
      <w:r>
        <w:rPr>
          <w:rFonts w:ascii="Times New Roman" w:hAnsi="Times New Roman" w:eastAsia="Times New Roman" w:cs="Times New Roman"/>
        </w:rPr>
        <w:t xml:space="preserve"> </w:t>
      </w:r>
      <w:r>
        <w:rPr>
          <w:rFonts w:ascii="Nirmala UI" w:hAnsi="Nirmala UI" w:eastAsia="Nirmala UI" w:cs="Nirmala UI"/>
        </w:rPr>
        <w:t>செயல்பாட்டைச்</w:t>
      </w:r>
      <w:r>
        <w:rPr>
          <w:rFonts w:ascii="Times New Roman" w:hAnsi="Times New Roman" w:eastAsia="Times New Roman" w:cs="Times New Roman"/>
        </w:rPr>
        <w:t xml:space="preserve"> </w:t>
      </w:r>
      <w:r>
        <w:rPr>
          <w:rFonts w:ascii="Nirmala UI" w:hAnsi="Nirmala UI" w:eastAsia="Nirmala UI" w:cs="Nirmala UI"/>
        </w:rPr>
        <w:t>சுட்டிக்காட்டுகிறது</w:t>
      </w:r>
      <w:r>
        <w:rPr>
          <w:rFonts w:ascii="Times New Roman" w:hAnsi="Times New Roman" w:eastAsia="Times New Roman" w:cs="Times New Roman"/>
        </w:rPr>
        <w:t xml:space="preserve">; </w:t>
      </w:r>
      <w:r>
        <w:rPr>
          <w:rFonts w:ascii="Nirmala UI" w:hAnsi="Nirmala UI" w:eastAsia="Nirmala UI" w:cs="Nirmala UI"/>
        </w:rPr>
        <w:t>அவ்வாறிருக்க</w:t>
      </w:r>
      <w:r>
        <w:rPr>
          <w:rFonts w:ascii="Times New Roman" w:hAnsi="Times New Roman" w:eastAsia="Times New Roman" w:cs="Times New Roman"/>
        </w:rPr>
        <w:t xml:space="preserve">, </w:t>
      </w:r>
      <w:r>
        <w:rPr>
          <w:rFonts w:ascii="Nirmala UI" w:hAnsi="Nirmala UI" w:eastAsia="Nirmala UI" w:cs="Nirmala UI"/>
        </w:rPr>
        <w:t>அவர்கள்</w:t>
      </w:r>
      <w:r>
        <w:rPr>
          <w:rFonts w:ascii="Times New Roman" w:hAnsi="Times New Roman" w:eastAsia="Times New Roman" w:cs="Times New Roman"/>
        </w:rPr>
        <w:t xml:space="preserve"> </w:t>
      </w:r>
      <w:r>
        <w:rPr>
          <w:rFonts w:ascii="Nirmala UI" w:hAnsi="Nirmala UI" w:eastAsia="Nirmala UI" w:cs="Nirmala UI"/>
        </w:rPr>
        <w:t>இணைந்திருந்த</w:t>
      </w:r>
      <w:r>
        <w:rPr>
          <w:rFonts w:ascii="Times New Roman" w:hAnsi="Times New Roman" w:eastAsia="Times New Roman" w:cs="Times New Roman"/>
        </w:rPr>
        <w:t xml:space="preserve"> </w:t>
      </w:r>
      <w:r>
        <w:rPr>
          <w:rFonts w:ascii="Nirmala UI" w:hAnsi="Nirmala UI" w:eastAsia="Nirmala UI" w:cs="Nirmala UI"/>
        </w:rPr>
        <w:t>பல்வேறு</w:t>
      </w:r>
      <w:r>
        <w:rPr>
          <w:rFonts w:ascii="Times New Roman" w:hAnsi="Times New Roman" w:eastAsia="Times New Roman" w:cs="Times New Roman"/>
        </w:rPr>
        <w:t xml:space="preserve"> </w:t>
      </w:r>
      <w:r>
        <w:rPr>
          <w:rFonts w:ascii="Nirmala UI" w:hAnsi="Nirmala UI" w:eastAsia="Nirmala UI" w:cs="Nirmala UI"/>
        </w:rPr>
        <w:t>ஆட்சிமுறைகளினால்</w:t>
      </w:r>
      <w:r>
        <w:rPr>
          <w:rFonts w:ascii="Times New Roman" w:hAnsi="Times New Roman" w:eastAsia="Times New Roman" w:cs="Times New Roman"/>
        </w:rPr>
        <w:t xml:space="preserve"> </w:t>
      </w:r>
      <w:r>
        <w:rPr>
          <w:rFonts w:ascii="Nirmala UI" w:hAnsi="Nirmala UI" w:eastAsia="Nirmala UI" w:cs="Nirmala UI"/>
        </w:rPr>
        <w:t>துன்புறுத்தலை</w:t>
      </w:r>
      <w:r>
        <w:rPr>
          <w:rFonts w:ascii="Times New Roman" w:hAnsi="Times New Roman" w:eastAsia="Times New Roman" w:cs="Times New Roman"/>
        </w:rPr>
        <w:t xml:space="preserve"> </w:t>
      </w:r>
      <w:r>
        <w:rPr>
          <w:rFonts w:ascii="Nirmala UI" w:hAnsi="Nirmala UI" w:eastAsia="Nirmala UI" w:cs="Nirmala UI"/>
        </w:rPr>
        <w:t>அனுபவித்த</w:t>
      </w:r>
      <w:r>
        <w:rPr>
          <w:rFonts w:ascii="Times New Roman" w:hAnsi="Times New Roman" w:eastAsia="Times New Roman" w:cs="Times New Roman"/>
        </w:rPr>
        <w:t xml:space="preserve"> </w:t>
      </w:r>
      <w:r>
        <w:rPr>
          <w:rFonts w:ascii="Nirmala UI" w:hAnsi="Nirmala UI" w:eastAsia="Nirmala UI" w:cs="Nirmala UI"/>
        </w:rPr>
        <w:t>அந்த</w:t>
      </w:r>
      <w:r>
        <w:rPr>
          <w:rFonts w:ascii="Times New Roman" w:hAnsi="Times New Roman" w:eastAsia="Times New Roman" w:cs="Times New Roman"/>
        </w:rPr>
        <w:t xml:space="preserve"> </w:t>
      </w:r>
      <w:r>
        <w:rPr>
          <w:rFonts w:ascii="Nirmala UI" w:hAnsi="Nirmala UI" w:eastAsia="Nirmala UI" w:cs="Nirmala UI"/>
        </w:rPr>
        <w:t>ஜாதிகளிலிருந்த</w:t>
      </w:r>
      <w:r>
        <w:rPr>
          <w:rFonts w:ascii="Times New Roman" w:hAnsi="Times New Roman" w:eastAsia="Times New Roman" w:cs="Times New Roman"/>
        </w:rPr>
        <w:t xml:space="preserve"> </w:t>
      </w:r>
      <w:r>
        <w:rPr>
          <w:rFonts w:ascii="Nirmala UI" w:hAnsi="Nirmala UI" w:eastAsia="Nirmala UI" w:cs="Nirmala UI"/>
        </w:rPr>
        <w:t>விசுவாசிகளைக்</w:t>
      </w:r>
      <w:r>
        <w:rPr>
          <w:rFonts w:ascii="Times New Roman" w:hAnsi="Times New Roman" w:eastAsia="Times New Roman" w:cs="Times New Roman"/>
        </w:rPr>
        <w:t xml:space="preserve"> </w:t>
      </w:r>
      <w:r>
        <w:rPr>
          <w:rFonts w:ascii="Nirmala UI" w:hAnsi="Nirmala UI" w:eastAsia="Nirmala UI" w:cs="Nirmala UI"/>
        </w:rPr>
        <w:t>கவனிக்காமல்</w:t>
      </w:r>
      <w:r>
        <w:rPr>
          <w:rFonts w:ascii="Times New Roman" w:hAnsi="Times New Roman" w:eastAsia="Times New Roman" w:cs="Times New Roman"/>
        </w:rPr>
        <w:t xml:space="preserve"> </w:t>
      </w:r>
      <w:r>
        <w:rPr>
          <w:rFonts w:ascii="Nirmala UI" w:hAnsi="Nirmala UI" w:eastAsia="Nirmala UI" w:cs="Nirmala UI"/>
        </w:rPr>
        <w:t>விட்டனர்</w:t>
      </w:r>
      <w:r>
        <w:rPr>
          <w:rFonts w:ascii="Times New Roman" w:hAnsi="Times New Roman" w:eastAsia="Times New Roman" w:cs="Times New Roman"/>
        </w:rPr>
        <w:t xml:space="preserve">. </w:t>
      </w:r>
      <w:r>
        <w:rPr>
          <w:rFonts w:ascii="Nirmala UI" w:hAnsi="Nirmala UI" w:eastAsia="Nirmala UI" w:cs="Nirmala UI"/>
        </w:rPr>
        <w:t>விக்கிரகங்களுக்கு</w:t>
      </w:r>
      <w:r>
        <w:rPr>
          <w:rFonts w:ascii="Times New Roman" w:hAnsi="Times New Roman" w:eastAsia="Times New Roman" w:cs="Times New Roman"/>
        </w:rPr>
        <w:t xml:space="preserve"> </w:t>
      </w:r>
      <w:r>
        <w:rPr>
          <w:rFonts w:ascii="Nirmala UI" w:hAnsi="Nirmala UI" w:eastAsia="Nirmala UI" w:cs="Nirmala UI"/>
        </w:rPr>
        <w:t>பலியிடப்பட்ட</w:t>
      </w:r>
      <w:r>
        <w:rPr>
          <w:rFonts w:ascii="Times New Roman" w:hAnsi="Times New Roman" w:eastAsia="Times New Roman" w:cs="Times New Roman"/>
        </w:rPr>
        <w:t xml:space="preserve"> </w:t>
      </w:r>
      <w:r>
        <w:rPr>
          <w:rFonts w:ascii="Nirmala UI" w:hAnsi="Nirmala UI" w:eastAsia="Nirmala UI" w:cs="Nirmala UI"/>
        </w:rPr>
        <w:t>உணவு</w:t>
      </w:r>
      <w:r>
        <w:rPr>
          <w:rFonts w:ascii="Times New Roman" w:hAnsi="Times New Roman" w:eastAsia="Times New Roman" w:cs="Times New Roman"/>
        </w:rPr>
        <w:t xml:space="preserve"> </w:t>
      </w:r>
      <w:r>
        <w:rPr>
          <w:rFonts w:ascii="Nirmala UI" w:hAnsi="Nirmala UI" w:eastAsia="Nirmala UI" w:cs="Nirmala UI"/>
        </w:rPr>
        <w:t>என்பது</w:t>
      </w:r>
      <w:r>
        <w:rPr>
          <w:rFonts w:ascii="Times New Roman" w:hAnsi="Times New Roman" w:eastAsia="Times New Roman" w:cs="Times New Roman"/>
        </w:rPr>
        <w:t xml:space="preserve">, </w:t>
      </w:r>
      <w:r>
        <w:rPr>
          <w:rFonts w:ascii="Nirmala UI" w:hAnsi="Nirmala UI" w:eastAsia="Nirmala UI" w:cs="Nirmala UI"/>
        </w:rPr>
        <w:t>மதத்திலும்</w:t>
      </w:r>
      <w:r>
        <w:rPr>
          <w:rFonts w:ascii="Times New Roman" w:hAnsi="Times New Roman" w:eastAsia="Times New Roman" w:cs="Times New Roman"/>
        </w:rPr>
        <w:t xml:space="preserve"> </w:t>
      </w:r>
      <w:r>
        <w:rPr>
          <w:rFonts w:ascii="Nirmala UI" w:hAnsi="Nirmala UI" w:eastAsia="Nirmala UI" w:cs="Nirmala UI"/>
        </w:rPr>
        <w:t>சுகாதாரத்திலும்</w:t>
      </w:r>
      <w:r>
        <w:rPr>
          <w:rFonts w:ascii="Times New Roman" w:hAnsi="Times New Roman" w:eastAsia="Times New Roman" w:cs="Times New Roman"/>
        </w:rPr>
        <w:t xml:space="preserve"> </w:t>
      </w:r>
      <w:r>
        <w:rPr>
          <w:rFonts w:ascii="Nirmala UI" w:hAnsi="Nirmala UI" w:eastAsia="Nirmala UI" w:cs="Nirmala UI"/>
        </w:rPr>
        <w:t>விலகிப்போன</w:t>
      </w:r>
      <w:r>
        <w:rPr>
          <w:rFonts w:ascii="Times New Roman" w:hAnsi="Times New Roman" w:eastAsia="Times New Roman" w:cs="Times New Roman"/>
        </w:rPr>
        <w:t xml:space="preserve"> </w:t>
      </w:r>
      <w:r>
        <w:rPr>
          <w:rFonts w:ascii="Nirmala UI" w:hAnsi="Nirmala UI" w:eastAsia="Nirmala UI" w:cs="Nirmala UI"/>
        </w:rPr>
        <w:t>முறைகளின்</w:t>
      </w:r>
      <w:r>
        <w:rPr>
          <w:rFonts w:ascii="Times New Roman" w:hAnsi="Times New Roman" w:eastAsia="Times New Roman" w:cs="Times New Roman"/>
        </w:rPr>
        <w:t xml:space="preserve"> </w:t>
      </w:r>
      <w:r>
        <w:rPr>
          <w:rFonts w:ascii="Nirmala UI" w:hAnsi="Nirmala UI" w:eastAsia="Nirmala UI" w:cs="Nirmala UI"/>
        </w:rPr>
        <w:t>வழிகாட்டுதல்களின்படி</w:t>
      </w:r>
      <w:r>
        <w:rPr>
          <w:rFonts w:ascii="Times New Roman" w:hAnsi="Times New Roman" w:eastAsia="Times New Roman" w:cs="Times New Roman"/>
        </w:rPr>
        <w:t xml:space="preserve"> </w:t>
      </w:r>
      <w:r>
        <w:rPr>
          <w:rFonts w:ascii="Nirmala UI" w:hAnsi="Nirmala UI" w:eastAsia="Nirmala UI" w:cs="Nirmala UI"/>
        </w:rPr>
        <w:t>ஆளப்படுவதற்கு</w:t>
      </w:r>
      <w:r>
        <w:rPr>
          <w:rFonts w:ascii="Times New Roman" w:hAnsi="Times New Roman" w:eastAsia="Times New Roman" w:cs="Times New Roman"/>
        </w:rPr>
        <w:t xml:space="preserve"> </w:t>
      </w:r>
      <w:r>
        <w:rPr>
          <w:rFonts w:ascii="Nirmala UI" w:hAnsi="Nirmala UI" w:eastAsia="Nirmala UI" w:cs="Nirmala UI"/>
        </w:rPr>
        <w:t>சம்மதித்திருந்த</w:t>
      </w:r>
      <w:r>
        <w:rPr>
          <w:rFonts w:ascii="Times New Roman" w:hAnsi="Times New Roman" w:eastAsia="Times New Roman" w:cs="Times New Roman"/>
        </w:rPr>
        <w:t xml:space="preserve"> </w:t>
      </w:r>
      <w:r>
        <w:rPr>
          <w:rFonts w:ascii="Nirmala UI" w:hAnsi="Nirmala UI" w:eastAsia="Nirmala UI" w:cs="Nirmala UI"/>
        </w:rPr>
        <w:t>லவோதிக்கேய</w:t>
      </w:r>
      <w:r>
        <w:rPr>
          <w:rFonts w:ascii="Times New Roman" w:hAnsi="Times New Roman" w:eastAsia="Times New Roman" w:cs="Times New Roman"/>
        </w:rPr>
        <w:t xml:space="preserve"> </w:t>
      </w:r>
      <w:r>
        <w:rPr>
          <w:rFonts w:ascii="Nirmala UI" w:hAnsi="Nirmala UI" w:eastAsia="Nirmala UI" w:cs="Nirmala UI"/>
        </w:rPr>
        <w:t>ஆத்வென்டிசத்தின்</w:t>
      </w:r>
      <w:r>
        <w:rPr>
          <w:rFonts w:ascii="Times New Roman" w:hAnsi="Times New Roman" w:eastAsia="Times New Roman" w:cs="Times New Roman"/>
        </w:rPr>
        <w:t xml:space="preserve"> </w:t>
      </w:r>
      <w:r>
        <w:rPr>
          <w:rFonts w:ascii="Nirmala UI" w:hAnsi="Nirmala UI" w:eastAsia="Nirmala UI" w:cs="Nirmala UI"/>
        </w:rPr>
        <w:t>பல்கலைக்கழகங்களில்</w:t>
      </w:r>
      <w:r>
        <w:rPr>
          <w:rFonts w:ascii="Times New Roman" w:hAnsi="Times New Roman" w:eastAsia="Times New Roman" w:cs="Times New Roman"/>
        </w:rPr>
        <w:t xml:space="preserve"> </w:t>
      </w:r>
      <w:r>
        <w:rPr>
          <w:rFonts w:ascii="Nirmala UI" w:hAnsi="Nirmala UI" w:eastAsia="Nirmala UI" w:cs="Nirmala UI"/>
        </w:rPr>
        <w:t>அப்போது</w:t>
      </w:r>
      <w:r>
        <w:rPr>
          <w:rFonts w:ascii="Times New Roman" w:hAnsi="Times New Roman" w:eastAsia="Times New Roman" w:cs="Times New Roman"/>
        </w:rPr>
        <w:t xml:space="preserve"> </w:t>
      </w:r>
      <w:r>
        <w:rPr>
          <w:rFonts w:ascii="Nirmala UI" w:hAnsi="Nirmala UI" w:eastAsia="Nirmala UI" w:cs="Nirmala UI"/>
        </w:rPr>
        <w:t>உறுதியாக</w:t>
      </w:r>
      <w:r>
        <w:rPr>
          <w:rFonts w:ascii="Times New Roman" w:hAnsi="Times New Roman" w:eastAsia="Times New Roman" w:cs="Times New Roman"/>
        </w:rPr>
        <w:t xml:space="preserve"> </w:t>
      </w:r>
      <w:r>
        <w:rPr>
          <w:rFonts w:ascii="Nirmala UI" w:hAnsi="Nirmala UI" w:eastAsia="Nirmala UI" w:cs="Nirmala UI"/>
        </w:rPr>
        <w:t>நிறுவப்பட்டிருந்த</w:t>
      </w:r>
      <w:r>
        <w:rPr>
          <w:rFonts w:ascii="Times New Roman" w:hAnsi="Times New Roman" w:eastAsia="Times New Roman" w:cs="Times New Roman"/>
        </w:rPr>
        <w:t xml:space="preserve"> </w:t>
      </w:r>
      <w:r>
        <w:rPr>
          <w:rFonts w:ascii="Nirmala UI" w:hAnsi="Nirmala UI" w:eastAsia="Nirmala UI" w:cs="Nirmala UI"/>
        </w:rPr>
        <w:t>விலகிப்போன</w:t>
      </w:r>
      <w:r>
        <w:rPr>
          <w:rFonts w:ascii="Times New Roman" w:hAnsi="Times New Roman" w:eastAsia="Times New Roman" w:cs="Times New Roman"/>
        </w:rPr>
        <w:t xml:space="preserve"> </w:t>
      </w:r>
      <w:r>
        <w:rPr>
          <w:rFonts w:ascii="Nirmala UI" w:hAnsi="Nirmala UI" w:eastAsia="Nirmala UI" w:cs="Nirmala UI"/>
        </w:rPr>
        <w:t>பிரொடஸ்டண்டிசமும்</w:t>
      </w:r>
      <w:r>
        <w:rPr>
          <w:rFonts w:ascii="Times New Roman" w:hAnsi="Times New Roman" w:eastAsia="Times New Roman" w:cs="Times New Roman"/>
        </w:rPr>
        <w:t xml:space="preserve"> </w:t>
      </w:r>
      <w:r>
        <w:rPr>
          <w:rFonts w:ascii="Nirmala UI" w:hAnsi="Nirmala UI" w:eastAsia="Nirmala UI" w:cs="Nirmala UI"/>
        </w:rPr>
        <w:t>கத்தோலிக்கத்துவமும்</w:t>
      </w:r>
      <w:r>
        <w:rPr>
          <w:rFonts w:ascii="Times New Roman" w:hAnsi="Times New Roman" w:eastAsia="Times New Roman" w:cs="Times New Roman"/>
        </w:rPr>
        <w:t xml:space="preserve"> </w:t>
      </w:r>
      <w:r>
        <w:rPr>
          <w:rFonts w:ascii="Nirmala UI" w:hAnsi="Nirmala UI" w:eastAsia="Nirmala UI" w:cs="Nirmala UI"/>
        </w:rPr>
        <w:t>சார்ந்த</w:t>
      </w:r>
      <w:r>
        <w:rPr>
          <w:rFonts w:ascii="Times New Roman" w:hAnsi="Times New Roman" w:eastAsia="Times New Roman" w:cs="Times New Roman"/>
        </w:rPr>
        <w:t xml:space="preserve"> </w:t>
      </w:r>
      <w:r>
        <w:rPr>
          <w:rFonts w:ascii="Nirmala UI" w:hAnsi="Nirmala UI" w:eastAsia="Nirmala UI" w:cs="Nirmala UI"/>
        </w:rPr>
        <w:t>பொய்யான</w:t>
      </w:r>
      <w:r>
        <w:rPr>
          <w:rFonts w:ascii="Times New Roman" w:hAnsi="Times New Roman" w:eastAsia="Times New Roman" w:cs="Times New Roman"/>
        </w:rPr>
        <w:t xml:space="preserve"> </w:t>
      </w:r>
      <w:r>
        <w:rPr>
          <w:rFonts w:ascii="Nirmala UI" w:hAnsi="Nirmala UI" w:eastAsia="Nirmala UI" w:cs="Nirmala UI"/>
        </w:rPr>
        <w:t>செயல்முறையைக்</w:t>
      </w:r>
      <w:r>
        <w:rPr>
          <w:rFonts w:ascii="Times New Roman" w:hAnsi="Times New Roman" w:eastAsia="Times New Roman" w:cs="Times New Roman"/>
        </w:rPr>
        <w:t xml:space="preserve"> </w:t>
      </w:r>
      <w:r>
        <w:rPr>
          <w:rFonts w:ascii="Nirmala UI" w:hAnsi="Nirmala UI" w:eastAsia="Nirmala UI" w:cs="Nirmala UI"/>
        </w:rPr>
        <w:t>குறித்தது</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Yesu o ile a tšoantšetsa bofelo ba moloko oa boraro joalokaha a ile a etsa ka qalo ea oona, hobane O ile a tšoaea ho fihla ha moloko oa bone ka ho hatisoa ha buka, Questions on Doctrine, e hatisitsoeng ka 1957, e ileng ea hana ka botlalo phapang ea mantlha ea pholoho e leng teng pakeng tsa ’nete le mehopolo e fosahetseng ea Boprostanta bo khelohileng le Bok’hatholike. Buka eo, ehlile, e na le lithuto tse ’maloa tse fosahetseng, empa ka motheo e ruta hore ho ke ke ha khoneha ho phela ka tlhōlo ho Kreste ho fihlela motho a fetoloa ka mohlolo ka ho Tla ha Bobeli. Buka eo e ile ea tšoaea qalo ea moloko oo ho oona banna ba mashome a mabeli a metso e mehlano ba boholo-holo ba neng ba tla inamela letsatsi. Likarolo tsa lipolotiki le tsa bolumeli tse neng li hlokahala ho lumella kereke ea Adventist ea Laodisea ho amohela khumamelo ea Sontaha molaong oa Sontaha o tlang haufinyane li ne li se li fihlile.</w:t>
      </w:r>
    </w:p>
    <w:p>
      <w:pPr>
        <w:pStyle w:val="ArticleBody"/>
        <w:jc w:val="left"/>
      </w:pPr>
      <w:r>
        <w:rPr>
          <w:rFonts w:ascii="Leelawadee UI" w:hAnsi="Leelawadee UI" w:eastAsia="Leelawadee UI" w:cs="Leelawadee UI"/>
        </w:rPr>
        <w:t>អំពើស្អប់ខ្ពើមទីបួនក្នុងគម្ពីរអេសេគាល</w:t>
      </w:r>
      <w:r>
        <w:rPr>
          <w:rFonts w:ascii="Times New Roman" w:hAnsi="Times New Roman" w:eastAsia="Times New Roman" w:cs="Times New Roman"/>
        </w:rPr>
        <w:t xml:space="preserve"> </w:t>
      </w:r>
      <w:r>
        <w:rPr>
          <w:rFonts w:ascii="Leelawadee UI" w:hAnsi="Leelawadee UI" w:eastAsia="Leelawadee UI" w:cs="Leelawadee UI"/>
        </w:rPr>
        <w:t>កើតឡើងនៅពេលដែលអ្នកស្មោះត្រង់តិចតួចនៅក្នុងជំពូកទីប្រាំបួនកំពុងទទួលត្រានៅលើថ្ងាសរបស់ពួកគេ</w:t>
      </w:r>
      <w:r>
        <w:rPr>
          <w:rFonts w:ascii="Times New Roman" w:hAnsi="Times New Roman" w:eastAsia="Times New Roman" w:cs="Times New Roman"/>
        </w:rPr>
        <w:t xml:space="preserve"> </w:t>
      </w:r>
      <w:r>
        <w:rPr>
          <w:rFonts w:ascii="Leelawadee UI" w:hAnsi="Leelawadee UI" w:eastAsia="Leelawadee UI" w:cs="Leelawadee UI"/>
        </w:rPr>
        <w:t>មុនពេលដែលទេវតាបំផ្លាញចាប់ផ្តើមការងាររបស់ពួកគេ។</w:t>
      </w:r>
      <w:r>
        <w:rPr>
          <w:rFonts w:ascii="Times New Roman" w:hAnsi="Times New Roman" w:eastAsia="Times New Roman" w:cs="Times New Roman"/>
        </w:rPr>
        <w:t xml:space="preserve"> </w:t>
      </w:r>
      <w:r>
        <w:rPr>
          <w:rFonts w:ascii="Leelawadee UI" w:hAnsi="Leelawadee UI" w:eastAsia="Leelawadee UI" w:cs="Leelawadee UI"/>
        </w:rPr>
        <w:t>និមិត្តនេះចាប់ផ្តើមនៅខទីមួយ</w:t>
      </w:r>
      <w:r>
        <w:rPr>
          <w:rFonts w:ascii="Times New Roman" w:hAnsi="Times New Roman" w:eastAsia="Times New Roman" w:cs="Times New Roman"/>
        </w:rPr>
        <w:t xml:space="preserve"> </w:t>
      </w:r>
      <w:r>
        <w:rPr>
          <w:rFonts w:ascii="Leelawadee UI" w:hAnsi="Leelawadee UI" w:eastAsia="Leelawadee UI" w:cs="Leelawadee UI"/>
        </w:rPr>
        <w:t>នៃជំពូកទីប្រាំបី</w:t>
      </w:r>
      <w:r>
        <w:rPr>
          <w:rFonts w:ascii="Times New Roman" w:hAnsi="Times New Roman" w:eastAsia="Times New Roman" w:cs="Times New Roman"/>
        </w:rPr>
        <w:t xml:space="preserve"> </w:t>
      </w:r>
      <w:r>
        <w:rPr>
          <w:rFonts w:ascii="Leelawadee UI" w:hAnsi="Leelawadee UI" w:eastAsia="Leelawadee UI" w:cs="Leelawadee UI"/>
        </w:rPr>
        <w:t>នៅថ្ងៃទីប្រាំ</w:t>
      </w:r>
      <w:r>
        <w:rPr>
          <w:rFonts w:ascii="Times New Roman" w:hAnsi="Times New Roman" w:eastAsia="Times New Roman" w:cs="Times New Roman"/>
        </w:rPr>
        <w:t xml:space="preserve"> </w:t>
      </w:r>
      <w:r>
        <w:rPr>
          <w:rFonts w:ascii="Leelawadee UI" w:hAnsi="Leelawadee UI" w:eastAsia="Leelawadee UI" w:cs="Leelawadee UI"/>
        </w:rPr>
        <w:t>នៃខែទីប្រាំមួយ</w:t>
      </w:r>
      <w:r>
        <w:rPr>
          <w:rFonts w:ascii="Times New Roman" w:hAnsi="Times New Roman" w:eastAsia="Times New Roman" w:cs="Times New Roman"/>
        </w:rPr>
        <w:t xml:space="preserve"> </w:t>
      </w:r>
      <w:r>
        <w:rPr>
          <w:rFonts w:ascii="Leelawadee UI" w:hAnsi="Leelawadee UI" w:eastAsia="Leelawadee UI" w:cs="Leelawadee UI"/>
        </w:rPr>
        <w:t>នៃឆ្នាំទីប្រាំមួយ។</w:t>
      </w:r>
      <w:r>
        <w:rPr>
          <w:rFonts w:ascii="Times New Roman" w:hAnsi="Times New Roman" w:eastAsia="Times New Roman" w:cs="Times New Roman"/>
        </w:rPr>
        <w:t xml:space="preserve"> </w:t>
      </w:r>
      <w:r>
        <w:rPr>
          <w:rFonts w:ascii="Leelawadee UI" w:hAnsi="Leelawadee UI" w:eastAsia="Leelawadee UI" w:cs="Leelawadee UI"/>
        </w:rPr>
        <w:t>និមិត្តនេះចាប់ផ្តើមនៅថ្ងៃមុនពេលការអនុវត្តន៍សេចក្តីជំនុំជម្រះលើអ្នកដែលក្រាបថ្វាយបង្គំព្រះអាទិត្យ</w:t>
      </w:r>
      <w:r>
        <w:rPr>
          <w:rFonts w:ascii="Times New Roman" w:hAnsi="Times New Roman" w:eastAsia="Times New Roman" w:cs="Times New Roman"/>
        </w:rPr>
        <w:t xml:space="preserve"> </w:t>
      </w:r>
      <w:r>
        <w:rPr>
          <w:rFonts w:ascii="Leelawadee UI" w:hAnsi="Leelawadee UI" w:eastAsia="Leelawadee UI" w:cs="Leelawadee UI"/>
        </w:rPr>
        <w:t>ដែលជាសញ្ញានៃអំណាចសម្តេចប៉ាប</w:t>
      </w:r>
      <w:r>
        <w:rPr>
          <w:rFonts w:ascii="Times New Roman" w:hAnsi="Times New Roman" w:eastAsia="Times New Roman" w:cs="Times New Roman"/>
        </w:rPr>
        <w:t xml:space="preserve"> </w:t>
      </w:r>
      <w:r>
        <w:rPr>
          <w:rFonts w:ascii="Leelawadee UI" w:hAnsi="Leelawadee UI" w:eastAsia="Leelawadee UI" w:cs="Leelawadee UI"/>
        </w:rPr>
        <w:t>ហើយលេខនៃឈ្មោះរបស់វាគឺ</w:t>
      </w:r>
      <w:r>
        <w:rPr>
          <w:rFonts w:ascii="Times New Roman" w:hAnsi="Times New Roman" w:eastAsia="Times New Roman" w:cs="Times New Roman"/>
        </w:rPr>
        <w:t xml:space="preserve"> «666»</w:t>
      </w:r>
      <w:r>
        <w:rPr>
          <w:rFonts w:ascii="Leelawadee UI" w:hAnsi="Leelawadee UI" w:eastAsia="Leelawadee UI" w:cs="Leelawadee UI"/>
        </w:rPr>
        <w:t>។</w:t>
      </w:r>
    </w:p>
    <w:p>
      <w:pPr>
        <w:pStyle w:val="ArticleBody"/>
        <w:jc w:val="left"/>
      </w:pPr>
      <w:r>
        <w:rPr>
          <w:rFonts w:ascii="Times New Roman" w:hAnsi="Times New Roman" w:eastAsia="Times New Roman" w:cs="Times New Roman"/>
        </w:rPr>
        <w:t>Tshebetso ya go tiiša ba ba dikete di lekgolo le masome a mane a mane e thomile ka la 11 September 2001 ka tlhaselo godimo ga sebata sa lefase ye e phethagaditšwego ke madimabe a boraro a Boislamo. Tlhaselo yeo e ile ya galefiša ditšhaba, gomme ya swaya go fihla ga pula ya morago ga seruthwana. Eupša pula ya morago ga seruthwana e be e tla lemogwa feela ke bao ba bego ba tla bušetšwa morago metheong ya Boadvente gore ba bone gore madimabe a mararo a Boislamo ke therešo ya motheo. Ka nako yeo, bao ba ilego ba bušetšwa morago ditseleng tša kgale tše Jeremia a di šupago bjalo ka “khutšo” (yeo e lego pula ya morago ga seruthwana), ba be ba tla ba balebeledi bao ba letšago phalafala ya madimabe a boraro, goba ba be ba tla ba bao ba ganago go kwa modumo wa phalafala, gomme ka tsela yeo ba gana go sepela ditseleng tša kgale.</w:t>
      </w:r>
    </w:p>
    <w:p>
      <w:pPr>
        <w:pStyle w:val="ArticleBody"/>
        <w:jc w:val="left"/>
      </w:pPr>
      <w:r>
        <w:rPr>
          <w:rFonts w:ascii="Times New Roman" w:hAnsi="Times New Roman" w:eastAsia="Times New Roman" w:cs="Times New Roman"/>
        </w:rPr>
        <w:t>Sasiyang sanadi diujian do doso pambarontakan ama niro i taon 1863. Di titik waktu na sarupa, ro ma sada barita taringot tu hatigoran ni Kristus, i ma “pardengganan alani haporseaon di bagasan hasintongan”. Ido barita Laodikia ni Jones dohot Waggoner, jala ido barita ni Hesekiel tu balulang na mate jala maringgas na ro sian “opat angin”, na gabe tanda ni Islam ni haholomon na patoluhon (si “hoda na muruk” na marsangkap mangalua). Anggo torop na satitik i na satia i, dung i diujian ma alani doso pambarontakan ama niro i taon 1888, di tingki surusuruan na gogo sian Pangungkapon pasal sampulu pitu tu sada pungu diturunhon, uju bagas-bagas na balga di Kota New York diruntuhon, jala Pangungkapon pasal sampulu pitu, ayat sada sahat tu tolu, dipatupa.</w:t>
      </w:r>
    </w:p>
    <w:p>
      <w:pPr>
        <w:pStyle w:val="ArticleBody"/>
        <w:jc w:val="left"/>
      </w:pPr>
      <w:r>
        <w:rPr>
          <w:rFonts w:ascii="Times New Roman" w:hAnsi="Times New Roman" w:eastAsia="Times New Roman" w:cs="Times New Roman"/>
        </w:rPr>
        <w:t>Tolai aning chuah-tharna tûr thuchah hi hriatthiamna hmangin an lo fiah a ni ta. Chuah-thar na hi hmanlai hunah Pathian thiltihtheihna a lo lang ang khân Pathian thiltihtheihna târ lanna emaw a ni em, a nih loh leh Pathian thiltihtheihna târ lanna chu hmanlai hunah chauh a ni tawh em? Rinawm mi tlêmte chu 1919-ah an pa ṭawngṭaina kalhnaa an lo ṭhinfiah leh a ni. Chu pathum fiahna zinga an kal dânin Pathian seal chu an talchhuaknaah an dawng ang a, a nih loh leh Laodikea Adventism upa sawmnih leh panga nên ni lamah an kun tûr a ni.</w:t>
      </w:r>
    </w:p>
    <w:p>
      <w:pPr>
        <w:pStyle w:val="ArticleBody"/>
        <w:jc w:val="left"/>
      </w:pPr>
      <w:r>
        <w:rPr>
          <w:rFonts w:ascii="Times New Roman" w:hAnsi="Times New Roman" w:eastAsia="Times New Roman" w:cs="Times New Roman"/>
        </w:rPr>
        <w:t>Semua pemberontakan daripada empat generasi Adventisme Laodikia menemukan padanannya pada 11 September 2001. Tarikh itu, yang dikenal pasti oleh Yesaya sebagai “hari angin timur,” menandai permulaan masa pemeteraian bagi seratus empat puluh empat ribu orang, dan masa pemeteraian itu ialah suatu jangka waktu. Pengakhiran jangka waktu itu telah digambarkan oleh permulaannya, kerana Yesus sentiasa menggambarkan pengakhiran sesuatu perkara dengan permulaan sesuatu perkara. Dalam pergerakan-pergerakan terakhir proses pemeteraian itu, ujian-ujian yang telah dilambangkan pada permulaan jangka waktu itu sekali lagi diulangi.</w:t>
      </w:r>
    </w:p>
    <w:p>
      <w:pPr>
        <w:pStyle w:val="ArticleBody"/>
        <w:jc w:val="left"/>
      </w:pPr>
      <w:r>
        <w:rPr>
          <w:rFonts w:ascii="Times New Roman" w:hAnsi="Times New Roman" w:eastAsia="Times New Roman" w:cs="Times New Roman"/>
        </w:rPr>
        <w:t>Pada 11 September 2001, ujian-ujian yang telah gagal dihadapi oleh para pemberontak Adventisme Laodikea, sebagaimana dilambangkan oleh keempat kekejian dalam Yehezkiel, dan oleh empat jemaat pertama dalam Wahyu pasal dua dan tiga, telah tiba, menandai permulaan suatu proses pengujian yang menuntun, bagi mereka yang mengaku sebagai Advent Hari Ketujuh, entah kepada tanda binatang itu, atau kepada meterai Allah.</w:t>
      </w:r>
    </w:p>
    <w:p>
      <w:pPr>
        <w:pStyle w:val="ArticleBody"/>
        <w:jc w:val="left"/>
      </w:pPr>
      <w:r>
        <w:rPr>
          <w:rFonts w:ascii="Times New Roman" w:hAnsi="Times New Roman" w:eastAsia="Times New Roman" w:cs="Times New Roman"/>
        </w:rPr>
        <w:t>Ubuholi be-Adventism yaseLawodikea bubanjwe yizintambo zokukhohlisa kwabo siqu, futhi cishe akunakwenzeka kubo “ukubona” ukuphindwa kokubonakaliswa kwamandla kaNkulunkulu njengoba kwavezwa yiminyakazo yangaphambili yezinguquko, kuhlanganise nomnyakazo wezinguquko owalethela i-Adventism ukuba ibe khona. Amadoda asendulo ahlakaza futhi amboza izimfundiso ezimelelwa ngamatshe ayigugu kaMiller ngezinhlamvu zemali ezingezona ezangempela nangamatshe ayigugu omgunyathi. Isigodlo seBhayibheli i-King James siye sabekwa ezikhathini zolimi oludala, sase sithathelwa indawo amaBhayibheli olimi lwesimanje avezwa ngesigama somuntu wesono.</w:t>
      </w:r>
    </w:p>
    <w:p>
      <w:pPr>
        <w:pStyle w:val="ArticleBody"/>
        <w:jc w:val="left"/>
      </w:pPr>
      <w:r>
        <w:rPr>
          <w:rFonts w:ascii="Times New Roman" w:hAnsi="Times New Roman" w:eastAsia="Times New Roman" w:cs="Times New Roman"/>
        </w:rPr>
        <w:t>Sekiranya ada antara orang-orang dahulu yang bersedia mempertimbangkan kemungkinan bahawa pekabaran hujan akhir itu bukanlah suatu pekabaran damai dan aman, hampir mustahil bagi mereka untuk mengenali bahawa penyataan-penyataan kuasa Allah dalam sejarah-sejarah kudus masa lampau itulah yang secara khusus mengenal pasti pemeteraian seratus empat puluh empat ribu itu. Yang lebih sukar lagi untuk mereka kenali ialah bahawa sejarah-sejarah kudus yang paling langsung mengenal pasti pemeteraian seratus empat puluh empat ribu itu ialah sejarah-sejarah kudus yang menggenapi Maleakhi pasal tiga, kerana Maleakhi pasal tiga menetapkan bahawa sentiasa ada seorang utusan yang menyediakan jalan bagi kedatangan secara tiba-tiba Utusan Perjanjian itu. Utusan itu dilambangkan oleh nabi Elia yang dengan berani mengisytiharkan bahawa tidak akan ada hujan dalam sejarahnya, kecuali jika hujan itu datang melalui pelayanannya.</w:t>
      </w:r>
    </w:p>
    <w:p>
      <w:pPr>
        <w:pStyle w:val="ArticleBody"/>
        <w:jc w:val="left"/>
      </w:pPr>
      <w:r>
        <w:rPr>
          <w:rFonts w:ascii="Times New Roman" w:hAnsi="Times New Roman" w:eastAsia="Times New Roman" w:cs="Times New Roman"/>
        </w:rPr>
        <w:t>Жекелийн далан ахмад өөрсдийгөө ЭЗЭНий сүм хэмээн тунхагласан нь үндэсгүй бөгөөд үнэн хэрэгтээ усан үзмийн талбайн үр жимсэнд зохистой үрийг өгөгчдөд тэр талбайг өгсөнтэй адил, өөрсдийг нь өнгөрөн гарч буй нэгэн ард түмний нэхэмжлэлийг илэрхийлж байсныг хүлээн зөвшөөрөхийг инээдэмтэй хэрэг гэж үзэх байсан. Гурав дахь Гаслангийн мэдээ, замыг бэлтгэгч элч, усан үзмийн талбайн дуу—эдгээр нь бүгд тэдний итгэл найдвараа тавьж байсан уламжлал, заншлын эсрэг гэрчилдэг бөгөөд хожмын бороог танин мэдэхэд бараг даван туулахын аргагүй саад тотгорыг илэрхийлдэг.</w:t>
      </w:r>
    </w:p>
    <w:p>
      <w:pPr>
        <w:pStyle w:val="ArticleBody"/>
        <w:jc w:val="left"/>
      </w:pPr>
      <w:r>
        <w:rPr>
          <w:rFonts w:ascii="Times New Roman" w:hAnsi="Times New Roman" w:eastAsia="Times New Roman" w:cs="Times New Roman"/>
        </w:rPr>
        <w:t>Kesimpulan daripada pemeteraian seratus empat puluh empat ribu itu menzahirkan ujian-ujian yang sama bagi mereka yang telah mengaku “mengenali” peranan Islam dalam Malapetaka yang ketiga. “Pertambahan pengetahuan” yang melancarkan pergerakan kaum Miller bermula pada penghujung “tujuh masa” pada tahun 1798. “Pertambahan pengetahuan” yang melancarkan pergerakan seratus empat puluh empat ribu bermula pada penghujung suatu “tujuh masa” yang bersifat simbolik (seratus dua puluh enam tahun) pada tahun 1989. Sepanjang seratus dua puluh enam tahun kemurtadan yang semakin memuncak itu, Adventisme Laodikia telah mencapai generasinya yang keempat dan yang terakhir.</w:t>
      </w:r>
    </w:p>
    <w:p>
      <w:pPr>
        <w:pStyle w:val="ArticleBody"/>
        <w:jc w:val="left"/>
      </w:pPr>
      <w:r>
        <w:rPr>
          <w:rFonts w:ascii="Times New Roman" w:hAnsi="Times New Roman" w:eastAsia="Times New Roman" w:cs="Times New Roman"/>
        </w:rPr>
        <w:t>Ke moloko wa boraro le wa bone moo setšhaba goba batho ba tlalelago senwelo sa bona sa nako ya tekong, gomme nako yeo bjale e fihlile. “Koketšego ya tsebo” ya go tšwa pukung ya Daniele yeo e emelwago ke Noka ya Hiddekele, le yona ke tsebo yeo e oketšegago ge Kutollo ya Jesu Kriste e utollwa pele ga ge nako ya kgaugelo e tswalelwa.</w:t>
      </w:r>
    </w:p>
    <w:p>
      <w:pPr>
        <w:pStyle w:val="ArticleBody"/>
        <w:jc w:val="left"/>
      </w:pPr>
      <w:r>
        <w:rPr>
          <w:rFonts w:ascii="Times New Roman" w:hAnsi="Times New Roman" w:eastAsia="Times New Roman" w:cs="Times New Roman"/>
        </w:rPr>
        <w:t>Kami akan membahas tiga pasal terakhir dari kitab Daniel dalam artikel berikutnya.</w:t>
      </w:r>
    </w:p>
    <w:p>
      <w:pPr>
        <w:pStyle w:val="ArticleScripture"/>
        <w:jc w:val="left"/>
      </w:pPr>
      <w:r>
        <w:rPr>
          <w:rFonts w:ascii="Times New Roman" w:hAnsi="Times New Roman" w:eastAsia="Times New Roman" w:cs="Times New Roman"/>
        </w:rPr>
        <w:t>“Diala di atitipaiti ken mapnuek a mapasamak ti dakkel a pannakasuot ken panagallilaw. Ni Satanas, a nakawesan kadagiti pagan-anay ti anghel, mangallilawto, no mabalin, uray dagiti pinili unay. Addanto dagiti adu a didios ken adu a ap-apu. Amin a angin ti sursuro ket agpuypuynogto. Dagidiay nangited iti kangatuan a panagdaydayaw iti ‘siensia a naulbod a napanaganan a kasta’ saanonto a daida ti mangidalan iti dayta a tiempo. Dagidiay nagtalek iti talna, kinasirib, wenno talenta da saanonto a tumakder iti ulo dagiti ranggo ken file. Saanda a tinultuloyan ti lawag. Dagidiay nangipaneknek a saan a matalek saanonto a maitalek kadakuada ti arban. Iti maudi a nainkalintegan a trabaho, sumagmamano laeng a dadakkel a lallaki ti mairaman. Mapagpaneknekda a bukod-latta ti pannakaawatda, agannadda a saan a kasapulan ti Dios, ket Isuna saanna ida a maaramat. Adda kadagiti napudno a adipen ti Apo, a iti tiempo ti panagkintayeg ken pannakasubok, maiparangarangda iti pannakakita. Adda ita dagiti napateg a nailemmeng a saan pay a nagruknoy iti tuhodda ken ni Baal. Saanda pay a naawat ti lawag a nagsilsilnag iti nasentroan a silaw a naidatag kadakayo. Ngem mabalin a iti uneg ti naranggas ken saan a makaawis a ruar, ti nadalus a kinapudno ti pudno a kababalin ti maysa a Cristiano ket maiparangarangto. Iti aldaw kitkitaentayo ti langit ngem saantayo a makita dagiti bituen. Addada sadiay, natatakder iti tangatang ti langit, ngem ti mata saan a mailasin ida. Iti rabii makitatayo ti pudno a silnagda.” Testimonies, vol. 5, 80, 81.</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Kitab Daniel - Nombor Lapan Puluh Empat</dc:title>
  <dc:subject>Mendedahkan Empat Generasi Adventisme Laodikia: Suatu Perjalanan Melalui Paralelisme Alkitabiah dan Ujian Kenabian</dc:subject>
  <dc:creator>Jeff Pippenger</dc:creator>
  <cp:keywords/>
  <dc:description>Generated by ArticleDigger from daniel\84_daniel.json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