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Bilangan Lapan Puluh Lima</w:t>
      </w:r>
    </w:p>
    <w:p>
      <w:pPr>
        <w:pStyle w:val="ArticleSubtitle"/>
        <w:jc w:val="left"/>
      </w:pPr>
      <w:r>
        <w:rPr>
          <w:rFonts w:ascii="Arial" w:hAnsi="Arial" w:eastAsia="Arial" w:cs="Arial"/>
        </w:rPr>
        <w:t>Membukakan Perjalanan Kenabian: Keterkaitan Ilahi Tonggak-Tonggak Sejarah</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2024-02-18</w:t>
      </w:r>
    </w:p>
    <w:p>
      <w:pPr>
        <w:pStyle w:val="ArticleBody"/>
        <w:jc w:val="left"/>
      </w:pPr>
      <w:r>
        <w:rPr>
          <w:rFonts w:ascii="Times New Roman" w:hAnsi="Times New Roman" w:eastAsia="Times New Roman" w:cs="Times New Roman"/>
        </w:rPr>
        <w:t>Taon saratus dua puluh onam sesudah pemberontakan tahun 1863, pado tahun 1989 anam ayat terakhir Daniel pasal sebelas dibukokan segelnyo. Pangatauan nang partamo kali dibukokan pado tahun itu ialah pangakuan akan garis-garis pembaruan dalam sejarah suci, serta panyingkapan bahwa samunyo saling sejajar satu samo lain. Lalu pado tahun 1992, terang dari anam ayat terakhir itu mulai terurai. Penyajian umum partamo dari kabanaran-kabanaran ini ado pado tahun 1994, dan pokok bahasannyo ialah garis-garis pembaruan. Pado tahun 1996, diterbitkan sabuah majalah bajudul The Time of the End, nang mengidentifikasi anam ayat terakhir Daniel pasal sebelas.</w:t>
      </w:r>
    </w:p>
    <w:p>
      <w:pPr>
        <w:pStyle w:val="ArticleBody"/>
        <w:jc w:val="left"/>
      </w:pPr>
      <w:r>
        <w:rPr>
          <w:rFonts w:ascii="Times New Roman" w:hAnsi="Times New Roman" w:eastAsia="Times New Roman" w:cs="Times New Roman"/>
        </w:rPr>
        <w:t>1996 ezali mobu oyo nsango epesamaki lolenge ya mibeko ya polele, oyo ezali elembo ya nzela oyo ezali kokokana na kotyama na lolenge ya polele ya nsango ya William Miller na 1831. Nsango ya Miller ezalaki kosakola bofungwami ya kosambisama, mpe bavɛrsɛ motoba ya nsuka ya Danyele zomi na moko ezalaki kosakola bokangami ya kosambisama. Liteya ya nsango ya Miller ezalaki ntango ya esakweli lokola emonisami na Biblia. Liteya ya bavɛrsɛ motoba ya nsuka ya Danyele zomi na moko ezalaki Rome ya mikolo oyo (mokonzi ya nord ya lokuta). Nzela ya mosala oyo emonisamaki epai ya Miller ezalaki Mibeko na ye 14 ya Kolimbola Esakweli. Nzela ya mosala oyo emonisamaki na 1989 ezalaki “molongo likolo ya molongo” ya bitambwisi ya mbongwana.</w:t>
      </w:r>
    </w:p>
    <w:p>
      <w:pPr>
        <w:pStyle w:val="ArticleBody"/>
        <w:jc w:val="left"/>
      </w:pPr>
      <w:r>
        <w:rPr>
          <w:rFonts w:ascii="Leelawadee UI" w:hAnsi="Leelawadee UI" w:eastAsia="Leelawadee UI" w:cs="Leelawadee UI"/>
        </w:rPr>
        <w:t>งานของมิลเลอร์รวมถึงการสถาปนาพระวจนะของพระเจ้าให้เป็นสิทธิอำนาจ</w:t>
      </w:r>
      <w:r>
        <w:rPr>
          <w:rFonts w:ascii="Times New Roman" w:hAnsi="Times New Roman" w:eastAsia="Times New Roman" w:cs="Times New Roman"/>
        </w:rPr>
        <w:t xml:space="preserve"> </w:t>
      </w:r>
      <w:r>
        <w:rPr>
          <w:rFonts w:ascii="Leelawadee UI" w:hAnsi="Leelawadee UI" w:eastAsia="Leelawadee UI" w:cs="Leelawadee UI"/>
        </w:rPr>
        <w:t>อันตรงกันข้ามกับธรรมประเพณีและจารีตของสันตะปาปาที่มีอำนาจอยู่ในโลกตลอดหนึ่งพันสองร้อยหกสิบปี</w:t>
      </w:r>
      <w:r>
        <w:rPr>
          <w:rFonts w:ascii="Times New Roman" w:hAnsi="Times New Roman" w:eastAsia="Times New Roman" w:cs="Times New Roman"/>
        </w:rPr>
        <w:t xml:space="preserve"> </w:t>
      </w:r>
      <w:r>
        <w:rPr>
          <w:rFonts w:ascii="Leelawadee UI" w:hAnsi="Leelawadee UI" w:eastAsia="Leelawadee UI" w:cs="Leelawadee UI"/>
        </w:rPr>
        <w:t>ด้วยเหตุนี้</w:t>
      </w:r>
      <w:r>
        <w:rPr>
          <w:rFonts w:ascii="Times New Roman" w:hAnsi="Times New Roman" w:eastAsia="Times New Roman" w:cs="Times New Roman"/>
        </w:rPr>
        <w:t xml:space="preserve"> </w:t>
      </w:r>
      <w:r>
        <w:rPr>
          <w:rFonts w:ascii="Leelawadee UI" w:hAnsi="Leelawadee UI" w:eastAsia="Leelawadee UI" w:cs="Leelawadee UI"/>
        </w:rPr>
        <w:t>ข่าวสารของมิลเลอร์จึงได้รับการตีพิมพ์เป็นครั้งแรกในปี</w:t>
      </w:r>
      <w:r>
        <w:rPr>
          <w:rFonts w:ascii="Times New Roman" w:hAnsi="Times New Roman" w:eastAsia="Times New Roman" w:cs="Times New Roman"/>
        </w:rPr>
        <w:t xml:space="preserve"> 1831 (</w:t>
      </w:r>
      <w:r>
        <w:rPr>
          <w:rFonts w:ascii="Leelawadee UI" w:hAnsi="Leelawadee UI" w:eastAsia="Leelawadee UI" w:cs="Leelawadee UI"/>
        </w:rPr>
        <w:t>อันเป็นการทำให้ข่าวสารของมิลเลอร์มีรูปแบบอย่างเป็นทางการ</w:t>
      </w:r>
      <w:r>
        <w:rPr>
          <w:rFonts w:ascii="Times New Roman" w:hAnsi="Times New Roman" w:eastAsia="Times New Roman" w:cs="Times New Roman"/>
        </w:rPr>
        <w:t xml:space="preserve">) </w:t>
      </w:r>
      <w:r>
        <w:rPr>
          <w:rFonts w:ascii="Leelawadee UI" w:hAnsi="Leelawadee UI" w:eastAsia="Leelawadee UI" w:cs="Leelawadee UI"/>
        </w:rPr>
        <w:t>ตรงกับสองร้อยยี่สิบปีพอดีหลังจากการจัดทำพระคัมภีร์ฉบับคิงเจมส์</w:t>
      </w:r>
      <w:r>
        <w:rPr>
          <w:rFonts w:ascii="Times New Roman" w:hAnsi="Times New Roman" w:eastAsia="Times New Roman" w:cs="Times New Roman"/>
        </w:rPr>
        <w:t xml:space="preserve"> </w:t>
      </w:r>
      <w:r>
        <w:rPr>
          <w:rFonts w:ascii="Leelawadee UI" w:hAnsi="Leelawadee UI" w:eastAsia="Leelawadee UI" w:cs="Leelawadee UI"/>
        </w:rPr>
        <w:t>งานของ</w:t>
      </w:r>
      <w:r>
        <w:rPr>
          <w:rFonts w:ascii="Times New Roman" w:hAnsi="Times New Roman" w:eastAsia="Times New Roman" w:cs="Times New Roman"/>
        </w:rPr>
        <w:t xml:space="preserve"> Future for America </w:t>
      </w:r>
      <w:r>
        <w:rPr>
          <w:rFonts w:ascii="Leelawadee UI" w:hAnsi="Leelawadee UI" w:eastAsia="Leelawadee UI" w:cs="Leelawadee UI"/>
        </w:rPr>
        <w:t>คือการชี้ระบุบทบาทของสหรัฐอเมริกาในการรักษาบาดแผลร้ายแรงถึงตายของสันตะปาปาในกฎหมายวันอาทิตย์ที่กำลังจะมาถึงในไม่ช้า</w:t>
      </w:r>
      <w:r>
        <w:rPr>
          <w:rFonts w:ascii="Times New Roman" w:hAnsi="Times New Roman" w:eastAsia="Times New Roman" w:cs="Times New Roman"/>
        </w:rPr>
        <w:t xml:space="preserve"> </w:t>
      </w:r>
      <w:r>
        <w:rPr>
          <w:rFonts w:ascii="Leelawadee UI" w:hAnsi="Leelawadee UI" w:eastAsia="Leelawadee UI" w:cs="Leelawadee UI"/>
        </w:rPr>
        <w:t>ด้วยเหตุนี้</w:t>
      </w:r>
      <w:r>
        <w:rPr>
          <w:rFonts w:ascii="Times New Roman" w:hAnsi="Times New Roman" w:eastAsia="Times New Roman" w:cs="Times New Roman"/>
        </w:rPr>
        <w:t xml:space="preserve"> </w:t>
      </w:r>
      <w:r>
        <w:rPr>
          <w:rFonts w:ascii="Leelawadee UI" w:hAnsi="Leelawadee UI" w:eastAsia="Leelawadee UI" w:cs="Leelawadee UI"/>
        </w:rPr>
        <w:t>นิตยสาร</w:t>
      </w:r>
      <w:r>
        <w:rPr>
          <w:rFonts w:ascii="Times New Roman" w:hAnsi="Times New Roman" w:eastAsia="Times New Roman" w:cs="Times New Roman"/>
        </w:rPr>
        <w:t xml:space="preserve"> The Time of the End </w:t>
      </w:r>
      <w:r>
        <w:rPr>
          <w:rFonts w:ascii="Leelawadee UI" w:hAnsi="Leelawadee UI" w:eastAsia="Leelawadee UI" w:cs="Leelawadee UI"/>
        </w:rPr>
        <w:t>จึงได้รับการตีพิมพ์ในปี</w:t>
      </w:r>
      <w:r>
        <w:rPr>
          <w:rFonts w:ascii="Times New Roman" w:hAnsi="Times New Roman" w:eastAsia="Times New Roman" w:cs="Times New Roman"/>
        </w:rPr>
        <w:t xml:space="preserve"> 1996 (</w:t>
      </w:r>
      <w:r>
        <w:rPr>
          <w:rFonts w:ascii="Leelawadee UI" w:hAnsi="Leelawadee UI" w:eastAsia="Leelawadee UI" w:cs="Leelawadee UI"/>
        </w:rPr>
        <w:t>อันเป็นการทำให้ข่าวสารมีรูปแบบอย่างเป็นทางการ</w:t>
      </w:r>
      <w:r>
        <w:rPr>
          <w:rFonts w:ascii="Times New Roman" w:hAnsi="Times New Roman" w:eastAsia="Times New Roman" w:cs="Times New Roman"/>
        </w:rPr>
        <w:t xml:space="preserve">) </w:t>
      </w:r>
      <w:r>
        <w:rPr>
          <w:rFonts w:ascii="Leelawadee UI" w:hAnsi="Leelawadee UI" w:eastAsia="Leelawadee UI" w:cs="Leelawadee UI"/>
        </w:rPr>
        <w:t>ตรงกับสองร้อยยี่สิบปีพอดีหลังจากการเริ่มต้นของสหรัฐอเมริกาในปี</w:t>
      </w:r>
      <w:r>
        <w:rPr>
          <w:rFonts w:ascii="Times New Roman" w:hAnsi="Times New Roman" w:eastAsia="Times New Roman" w:cs="Times New Roman"/>
        </w:rPr>
        <w:t xml:space="preserve"> 1776</w:t>
      </w:r>
    </w:p>
    <w:p>
      <w:pPr>
        <w:pStyle w:val="ArticleBody"/>
        <w:jc w:val="left"/>
      </w:pPr>
      <w:r>
        <w:rPr>
          <w:rFonts w:ascii="Times New Roman" w:hAnsi="Times New Roman" w:eastAsia="Times New Roman" w:cs="Times New Roman"/>
        </w:rPr>
        <w:t>Pengiktirafan terhadap dua ratus dua puluh tahun yang mengikat tema setiap gerakan pembaharuan bersama-sama dengan suatu titik rujukan sejarah tidak disedari sehinggalah lama sesudah 11 September 2001, kerana hanya apabila malapetaka yang ketiga tiba pada tarikh itu, Tuhan memimpin umat-Nya kembali kepada jalan-jalan purba dalam Yeremia fasal enam, ayat enam belas dan tujuh belas. Di situlah terang tentang “tujuh masa” ditemukan semula, dan apabila terang itu berkembang, menjadi nyata bahawa dua ratus dua puluh ialah angka yang menghubungkan Daniel lapan, ayat tiga belas dan empat belas. Dalam ayat tiga belas, penglihatan “chazon” tentang sejarah nubuatan dikenal pasti, dan dalam ayat empat belas, penglihatan “mareh” tentang “penampakan” dikenal pasti. Hubungan antara kedua-dua ayat itulah yang Gabriel datang untuk mengajarkannya kepada Daniel, dan Daniel melambangkan umat Tuhan pada akhir zaman yang akan memahami hubungan antara kedua-dua penglihatan itu.</w:t>
      </w:r>
    </w:p>
    <w:p>
      <w:pPr>
        <w:pStyle w:val="ArticleBody"/>
        <w:jc w:val="left"/>
      </w:pPr>
      <w:r>
        <w:rPr>
          <w:rFonts w:ascii="Times New Roman" w:hAnsi="Times New Roman" w:eastAsia="Times New Roman" w:cs="Times New Roman"/>
        </w:rPr>
        <w:t>Panon ka lengkhâwm hmuhna chuan “hun sari” (kum sang hnih leh zakhâ leh sawm hnih) a entîr a, châng sawmli pânâ hmuhna chuan ni sang hnih leh zakhâ a entîr (kumte). “Hun sari” chu ram lalna hma lam Judah chunga, Judah, Jerusalem leh biak in a entîrtu chunga tih a ni a, chu chu BC 677-ah a tan a; Jerusalem leh biak in siamthar nân hriatna pe tûr kum sang hnih leh za thumte chu BC 457-ah an tan.</w:t>
      </w:r>
    </w:p>
    <w:p>
      <w:pPr>
        <w:pStyle w:val="ArticleBody"/>
        <w:jc w:val="left"/>
      </w:pPr>
      <w:r>
        <w:rPr>
          <w:rFonts w:ascii="Times New Roman" w:hAnsi="Times New Roman" w:eastAsia="Times New Roman" w:cs="Times New Roman"/>
        </w:rPr>
        <w:t>Leta makholo a mabedi le masome a mabedi di lomaganya dipono tše pedi tše, gomme palo ya makholo a mabedi le masome a mabedi e ile ya lemogwa e le seka sa kgokagano magareng ga go gatakelwa fase ga lešaba le sehlwaseeme, ke maatla a šwalalanyo a boheitene le bopapa, seo se emetšwego bjalo ka go gašanywa le kgalefo ya Modimo. Leta makholo a mabedi le masome a mabedi a lomaganya pono ya modiro wa Sathane wa go gatakela fase sehlwaseeme gotee le pono ya modiro wa bomodimo wa go tsošološa tempele yona yeo. Ka gona, leta makholo a mabedi le masome a mabedi ke seka seo se emelago kgokagano e kgethwa.</w:t>
      </w:r>
    </w:p>
    <w:p>
      <w:pPr>
        <w:pStyle w:val="ArticleBody"/>
        <w:jc w:val="left"/>
      </w:pPr>
      <w:r>
        <w:rPr>
          <w:rFonts w:ascii="Times New Roman" w:hAnsi="Times New Roman" w:eastAsia="Times New Roman" w:cs="Times New Roman"/>
        </w:rPr>
        <w:t>Seperti halnya pergerakan Miller berakhir pada pemberontakan tahun 1863, dan kemudian seratus dua puluh enam tahun sesudahnya pergerakan malaikat ketiga tiba, sehingga menegaskan bahwa kedua pergerakan itu dihubungkan oleh perlambangan “tujuh kali” (seratus dua puluh enam), demikian pula dua ratus dua puluh tahun menghubungkan peneguhan Miller atas pekabaran Alkitab pada tahun 1831 dengan diterbitkannya Alkitab King James pada tahun 1611; demikian juga jangka waktu yang sama menghubungkan Future for America dengan permulaan Amerika, sementara hal itu menandai akhir Amerika.</w:t>
      </w:r>
    </w:p>
    <w:p>
      <w:pPr>
        <w:pStyle w:val="ArticleBody"/>
        <w:jc w:val="left"/>
      </w:pPr>
      <w:r>
        <w:rPr>
          <w:rFonts w:ascii="Leelawadee UI" w:hAnsi="Leelawadee UI" w:eastAsia="Leelawadee UI" w:cs="Leelawadee UI"/>
        </w:rPr>
        <w:t>នៅថ្ងៃទី</w:t>
      </w:r>
      <w:r>
        <w:rPr>
          <w:rFonts w:ascii="Times New Roman" w:hAnsi="Times New Roman" w:eastAsia="Times New Roman" w:cs="Times New Roman"/>
        </w:rPr>
        <w:t xml:space="preserve"> </w:t>
      </w:r>
      <w:r>
        <w:rPr>
          <w:rFonts w:ascii="Leelawadee UI" w:hAnsi="Leelawadee UI" w:eastAsia="Leelawadee UI" w:cs="Leelawadee UI"/>
        </w:rPr>
        <w:t>២២</w:t>
      </w:r>
      <w:r>
        <w:rPr>
          <w:rFonts w:ascii="Times New Roman" w:hAnsi="Times New Roman" w:eastAsia="Times New Roman" w:cs="Times New Roman"/>
        </w:rPr>
        <w:t xml:space="preserve">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១៨៤៤</w:t>
      </w:r>
      <w:r>
        <w:rPr>
          <w:rFonts w:ascii="Times New Roman" w:hAnsi="Times New Roman" w:eastAsia="Times New Roman" w:cs="Times New Roman"/>
        </w:rPr>
        <w:t xml:space="preserve"> </w:t>
      </w:r>
      <w:r>
        <w:rPr>
          <w:rFonts w:ascii="Leelawadee UI" w:hAnsi="Leelawadee UI" w:eastAsia="Leelawadee UI" w:cs="Leelawadee UI"/>
        </w:rPr>
        <w:t>អង្គទូតនៃសេចក្តីសញ្ញា</w:t>
      </w:r>
      <w:r>
        <w:rPr>
          <w:rFonts w:ascii="Times New Roman" w:hAnsi="Times New Roman" w:eastAsia="Times New Roman" w:cs="Times New Roman"/>
        </w:rPr>
        <w:t xml:space="preserve"> </w:t>
      </w:r>
      <w:r>
        <w:rPr>
          <w:rFonts w:ascii="Leelawadee UI" w:hAnsi="Leelawadee UI" w:eastAsia="Leelawadee UI" w:cs="Leelawadee UI"/>
        </w:rPr>
        <w:t>បានយាងមកដល់ព្រះវិហារ</w:t>
      </w:r>
      <w:r>
        <w:rPr>
          <w:rFonts w:ascii="Times New Roman" w:hAnsi="Times New Roman" w:eastAsia="Times New Roman" w:cs="Times New Roman"/>
        </w:rPr>
        <w:t xml:space="preserve"> </w:t>
      </w:r>
      <w:r>
        <w:rPr>
          <w:rFonts w:ascii="Leelawadee UI" w:hAnsi="Leelawadee UI" w:eastAsia="Leelawadee UI" w:cs="Leelawadee UI"/>
        </w:rPr>
        <w:t>ដែលទ្រង់បានស្ថាបនាឡើងក្នុងរយៈពេលសែសិបប្រាំមួយឆ្នាំ</w:t>
      </w:r>
      <w:r>
        <w:rPr>
          <w:rFonts w:ascii="Times New Roman" w:hAnsi="Times New Roman" w:eastAsia="Times New Roman" w:cs="Times New Roman"/>
        </w:rPr>
        <w:t xml:space="preserve"> </w:t>
      </w:r>
      <w:r>
        <w:rPr>
          <w:rFonts w:ascii="Leelawadee UI" w:hAnsi="Leelawadee UI" w:eastAsia="Leelawadee UI" w:cs="Leelawadee UI"/>
        </w:rPr>
        <w:t>គឺចាប់ពីឆ្នាំ</w:t>
      </w:r>
      <w:r>
        <w:rPr>
          <w:rFonts w:ascii="Times New Roman" w:hAnsi="Times New Roman" w:eastAsia="Times New Roman" w:cs="Times New Roman"/>
        </w:rPr>
        <w:t xml:space="preserve"> </w:t>
      </w:r>
      <w:r>
        <w:rPr>
          <w:rFonts w:ascii="Leelawadee UI" w:hAnsi="Leelawadee UI" w:eastAsia="Leelawadee UI" w:cs="Leelawadee UI"/>
        </w:rPr>
        <w:t>១៧៩៨</w:t>
      </w:r>
      <w:r>
        <w:rPr>
          <w:rFonts w:ascii="Times New Roman" w:hAnsi="Times New Roman" w:eastAsia="Times New Roman" w:cs="Times New Roman"/>
        </w:rPr>
        <w:t xml:space="preserve"> </w:t>
      </w:r>
      <w:r>
        <w:rPr>
          <w:rFonts w:ascii="Leelawadee UI" w:hAnsi="Leelawadee UI" w:eastAsia="Leelawadee UI" w:cs="Leelawadee UI"/>
        </w:rPr>
        <w:t>ជាទីបញ្ចប់នៃសេចក្តីកំហឹងដំបូង</w:t>
      </w:r>
      <w:r>
        <w:rPr>
          <w:rFonts w:ascii="Times New Roman" w:hAnsi="Times New Roman" w:eastAsia="Times New Roman" w:cs="Times New Roman"/>
        </w:rPr>
        <w:t xml:space="preserve"> </w:t>
      </w:r>
      <w:r>
        <w:rPr>
          <w:rFonts w:ascii="Leelawadee UI" w:hAnsi="Leelawadee UI" w:eastAsia="Leelawadee UI" w:cs="Leelawadee UI"/>
        </w:rPr>
        <w:t>រហូតដល់ឆ្នាំ</w:t>
      </w:r>
      <w:r>
        <w:rPr>
          <w:rFonts w:ascii="Times New Roman" w:hAnsi="Times New Roman" w:eastAsia="Times New Roman" w:cs="Times New Roman"/>
        </w:rPr>
        <w:t xml:space="preserve"> </w:t>
      </w:r>
      <w:r>
        <w:rPr>
          <w:rFonts w:ascii="Leelawadee UI" w:hAnsi="Leelawadee UI" w:eastAsia="Leelawadee UI" w:cs="Leelawadee UI"/>
        </w:rPr>
        <w:t>១៨៤៤</w:t>
      </w:r>
      <w:r>
        <w:rPr>
          <w:rFonts w:ascii="Times New Roman" w:hAnsi="Times New Roman" w:eastAsia="Times New Roman" w:cs="Times New Roman"/>
        </w:rPr>
        <w:t xml:space="preserve"> </w:t>
      </w:r>
      <w:r>
        <w:rPr>
          <w:rFonts w:ascii="Leelawadee UI" w:hAnsi="Leelawadee UI" w:eastAsia="Leelawadee UI" w:cs="Leelawadee UI"/>
        </w:rPr>
        <w:t>ជាទីបញ្ចប់នៃសេចក្តីកំហឹងចុងក្រោយ</w:t>
      </w:r>
      <w:r>
        <w:rPr>
          <w:rFonts w:ascii="Times New Roman" w:hAnsi="Times New Roman" w:eastAsia="Times New Roman" w:cs="Times New Roman"/>
        </w:rPr>
        <w:t xml:space="preserve"> </w:t>
      </w:r>
      <w:r>
        <w:rPr>
          <w:rFonts w:ascii="Leelawadee UI" w:hAnsi="Leelawadee UI" w:eastAsia="Leelawadee UI" w:cs="Leelawadee UI"/>
        </w:rPr>
        <w:t>ដោយឆាប់រហ័ស។</w:t>
      </w:r>
      <w:r>
        <w:rPr>
          <w:rFonts w:ascii="Times New Roman" w:hAnsi="Times New Roman" w:eastAsia="Times New Roman" w:cs="Times New Roman"/>
        </w:rPr>
        <w:t xml:space="preserve"> </w:t>
      </w:r>
      <w:r>
        <w:rPr>
          <w:rFonts w:ascii="Leelawadee UI" w:hAnsi="Leelawadee UI" w:eastAsia="Leelawadee UI" w:cs="Leelawadee UI"/>
        </w:rPr>
        <w:t>ការយាងចូលរបស់ទ្រង់ទៅក្នុងព្រះវិហារ</w:t>
      </w:r>
      <w:r>
        <w:rPr>
          <w:rFonts w:ascii="Times New Roman" w:hAnsi="Times New Roman" w:eastAsia="Times New Roman" w:cs="Times New Roman"/>
        </w:rPr>
        <w:t xml:space="preserve"> </w:t>
      </w:r>
      <w:r>
        <w:rPr>
          <w:rFonts w:ascii="Leelawadee UI" w:hAnsi="Leelawadee UI" w:eastAsia="Leelawadee UI" w:cs="Leelawadee UI"/>
        </w:rPr>
        <w:t>ត្រូវបាននាំមុខដោយការចាក់បង្ហូរនៃព្រះវិញ្ញាណបរិសុទ្ធនៅក្នុងចលនានៃសំឡេងហៅកណ្ដាលអធ្រាត្រ</w:t>
      </w:r>
      <w:r>
        <w:rPr>
          <w:rFonts w:ascii="Times New Roman" w:hAnsi="Times New Roman" w:eastAsia="Times New Roman" w:cs="Times New Roman"/>
        </w:rPr>
        <w:t xml:space="preserve"> </w:t>
      </w:r>
      <w:r>
        <w:rPr>
          <w:rFonts w:ascii="Leelawadee UI" w:hAnsi="Leelawadee UI" w:eastAsia="Leelawadee UI" w:cs="Leelawadee UI"/>
        </w:rPr>
        <w:t>ដែលត្រូវបានតំណាងជាមុនដោយការយាងចូលយ៉ាងមានជ័យជម្នះរបស់ព្រះគ្រីស្ទទៅក្រុងយេរូសាឡឹម។</w:t>
      </w:r>
      <w:r>
        <w:rPr>
          <w:rFonts w:ascii="Times New Roman" w:hAnsi="Times New Roman" w:eastAsia="Times New Roman" w:cs="Times New Roman"/>
        </w:rPr>
        <w:t xml:space="preserve"> </w:t>
      </w:r>
      <w:r>
        <w:rPr>
          <w:rFonts w:ascii="Leelawadee UI" w:hAnsi="Leelawadee UI" w:eastAsia="Leelawadee UI" w:cs="Leelawadee UI"/>
        </w:rPr>
        <w:t>សាក្សីទាំងពីរនោះ</w:t>
      </w:r>
      <w:r>
        <w:rPr>
          <w:rFonts w:ascii="Times New Roman" w:hAnsi="Times New Roman" w:eastAsia="Times New Roman" w:cs="Times New Roman"/>
        </w:rPr>
        <w:t xml:space="preserve"> </w:t>
      </w:r>
      <w:r>
        <w:rPr>
          <w:rFonts w:ascii="Leelawadee UI" w:hAnsi="Leelawadee UI" w:eastAsia="Leelawadee UI" w:cs="Leelawadee UI"/>
        </w:rPr>
        <w:t>បញ្ជាក់ថា</w:t>
      </w:r>
      <w:r>
        <w:rPr>
          <w:rFonts w:ascii="Times New Roman" w:hAnsi="Times New Roman" w:eastAsia="Times New Roman" w:cs="Times New Roman"/>
        </w:rPr>
        <w:t xml:space="preserve"> </w:t>
      </w:r>
      <w:r>
        <w:rPr>
          <w:rFonts w:ascii="Leelawadee UI" w:hAnsi="Leelawadee UI" w:eastAsia="Leelawadee UI" w:cs="Leelawadee UI"/>
        </w:rPr>
        <w:t>នៅពេលចលនានៃសំឡេងហៅកណ្ដាលអធ្រាត្រ</w:t>
      </w:r>
      <w:r>
        <w:rPr>
          <w:rFonts w:ascii="Times New Roman" w:hAnsi="Times New Roman" w:eastAsia="Times New Roman" w:cs="Times New Roman"/>
        </w:rPr>
        <w:t xml:space="preserve"> </w:t>
      </w:r>
      <w:r>
        <w:rPr>
          <w:rFonts w:ascii="Leelawadee UI" w:hAnsi="Leelawadee UI" w:eastAsia="Leelawadee UI" w:cs="Leelawadee UI"/>
        </w:rPr>
        <w:t>ត្រូវបានធ្វើឡើងវិញនៅថ្ងៃចុងក្រោយ</w:t>
      </w:r>
      <w:r>
        <w:rPr>
          <w:rFonts w:ascii="Times New Roman" w:hAnsi="Times New Roman" w:eastAsia="Times New Roman" w:cs="Times New Roman"/>
        </w:rPr>
        <w:t xml:space="preserve"> </w:t>
      </w:r>
      <w:r>
        <w:rPr>
          <w:rFonts w:ascii="Leelawadee UI" w:hAnsi="Leelawadee UI" w:eastAsia="Leelawadee UI" w:cs="Leelawadee UI"/>
        </w:rPr>
        <w:t>ព្រះគ្រីស្ទនឹងបានស្ថាបនាព្រះវិហាររបស់មនុស្សមួយរយសែសិបបួនពាន់រួចហើយ។</w:t>
      </w:r>
      <w:r>
        <w:rPr>
          <w:rFonts w:ascii="Times New Roman" w:hAnsi="Times New Roman" w:eastAsia="Times New Roman" w:cs="Times New Roman"/>
        </w:rPr>
        <w:t xml:space="preserve"> </w:t>
      </w:r>
      <w:r>
        <w:rPr>
          <w:rFonts w:ascii="Leelawadee UI" w:hAnsi="Leelawadee UI" w:eastAsia="Leelawadee UI" w:cs="Leelawadee UI"/>
        </w:rPr>
        <w:t>ចលនាទាំងពីរ</w:t>
      </w:r>
      <w:r>
        <w:rPr>
          <w:rFonts w:ascii="Times New Roman" w:hAnsi="Times New Roman" w:eastAsia="Times New Roman" w:cs="Times New Roman"/>
        </w:rPr>
        <w:t xml:space="preserve"> </w:t>
      </w:r>
      <w:r>
        <w:rPr>
          <w:rFonts w:ascii="Leelawadee UI" w:hAnsi="Leelawadee UI" w:eastAsia="Leelawadee UI" w:cs="Leelawadee UI"/>
        </w:rPr>
        <w:t>ដែលនៅក្នុងនោះសំឡេងហៅកណ្ដាលអធ្រាត្រនៃពាក្យប្រៀបធៀបអំពីស្ត្រីព្រហ្មចារីទាំងដប់</w:t>
      </w:r>
      <w:r>
        <w:rPr>
          <w:rFonts w:ascii="Times New Roman" w:hAnsi="Times New Roman" w:eastAsia="Times New Roman" w:cs="Times New Roman"/>
        </w:rPr>
        <w:t xml:space="preserve"> </w:t>
      </w:r>
      <w:r>
        <w:rPr>
          <w:rFonts w:ascii="Leelawadee UI" w:hAnsi="Leelawadee UI" w:eastAsia="Leelawadee UI" w:cs="Leelawadee UI"/>
        </w:rPr>
        <w:t>បានសម្រេចបំពេញ</w:t>
      </w:r>
      <w:r>
        <w:rPr>
          <w:rFonts w:ascii="Times New Roman" w:hAnsi="Times New Roman" w:eastAsia="Times New Roman" w:cs="Times New Roman"/>
        </w:rPr>
        <w:t xml:space="preserve"> </w:t>
      </w:r>
      <w:r>
        <w:rPr>
          <w:rFonts w:ascii="Leelawadee UI" w:hAnsi="Leelawadee UI" w:eastAsia="Leelawadee UI" w:cs="Leelawadee UI"/>
        </w:rPr>
        <w:t>គឺស្របគ្នានឹងគ្នា។</w:t>
      </w:r>
    </w:p>
    <w:p>
      <w:pPr>
        <w:pStyle w:val="ArticleScripture"/>
        <w:jc w:val="left"/>
      </w:pPr>
      <w:r>
        <w:rPr>
          <w:rFonts w:ascii="Times New Roman" w:hAnsi="Times New Roman" w:eastAsia="Times New Roman" w:cs="Times New Roman"/>
        </w:rPr>
        <w:t>“Saya sering dirujukkan kepada perumpamaan tentang sepuluh anak dara, lima daripadanya bijaksana, dan lima bodoh. Perumpamaan ini telah dan akan digenapi tepat menurut setiap butirnya, kerana ia mempunyai penerapan yang khusus bagi zaman ini, dan, seperti perkhabaran malaikat ketiga, telah digenapi dan akan terus menjadi kebenaran masa kini hingga penutupan zaman.” Review and Herald, 19 Ogos 1890.</w:t>
      </w:r>
    </w:p>
    <w:p>
      <w:pPr>
        <w:pStyle w:val="ArticleBody"/>
        <w:jc w:val="left"/>
      </w:pPr>
      <w:r>
        <w:rPr>
          <w:rFonts w:ascii="Times New Roman" w:hAnsi="Times New Roman" w:eastAsia="Times New Roman" w:cs="Times New Roman"/>
        </w:rPr>
        <w:t>History ya ba-Millerite (mokitano ya njelo ya yambo), yiiminina kutalakanisa kwa ngolo ya Nzambe oyo ezalaki komata mokemoke banda ntango buku ya Daniele efungwamaki na 1798. Ngolo yango ebakisamaki ntango njelo ya Emoniseli zomi akitaki na 11 août 1840. Na nsima, kozanga elikia ya yambo ya 19 avril 1844 ekomaki, mpe na nsuka ememaki na kosopama ya Molimo Mosantu na liyangani ya kaa ya Exeter, oyo ebandaki na 12 août 1844 mpe ekobaki kopanzana lokola mbonge monene ya mai na mokili mobimba kino 22 octobre 1844.</w:t>
      </w:r>
    </w:p>
    <w:p>
      <w:pPr>
        <w:pStyle w:val="ArticleBody"/>
        <w:jc w:val="left"/>
      </w:pPr>
      <w:r>
        <w:rPr>
          <w:rFonts w:ascii="Times New Roman" w:hAnsi="Times New Roman" w:eastAsia="Times New Roman" w:cs="Times New Roman"/>
        </w:rPr>
        <w:t>Hisitoli ya Future for America (mokhatlo oa lengeloi la boraro), e emela ponahatso e ntseng e eketseha ea matla a Molimo e qalileng ha buka ea Daniele e ne e buloa ka 1989. Matla a ile a eketseha ha lengeloi la Tšenolo 18 le theoha ka la 11 Loetse, 2001. Eaba ho fihla ho nyahama ha pele ka la 18 Phupu, 2020, hoo qetellong ho tla lebisa tšollelong ea Moea o Halalelang, e tla tsoela pele ho hasana joaloka mollo o hlaha holim’a lefatše lohle ho fihlela Mikaele a ema, ’me monyetla oa teko oa batho o koaloa.</w:t>
      </w:r>
    </w:p>
    <w:p>
      <w:pPr>
        <w:pStyle w:val="ArticleBody"/>
        <w:jc w:val="left"/>
      </w:pPr>
      <w:r>
        <w:rPr>
          <w:rFonts w:ascii="Times New Roman" w:hAnsi="Times New Roman" w:eastAsia="Times New Roman" w:cs="Times New Roman"/>
        </w:rPr>
        <w:t>Ni 22 Oktober, 1844, mitimtokbok ka propesi ngei jaksoik; mi tia pyebot se, ni Sunday law a baningbaning, propesi ngei jaksoik ka khloneuala. Propesi khatpa ama ni Habakkuk chapter ani a mi angchiaksa, vision tarrying hi a ni. Habakkuk chapter ani in first angel leh third angel movement ani nih an toningna anikpa tarlang. Movement ani nih ka biblik methodology dik thuma tranhna khat an maituipi, chu tranhna puitu chu movement representative te leh, tranhna process sungah an luahlui ding former chosen people te inkara a semdok a ni.</w:t>
      </w:r>
    </w:p>
    <w:p>
      <w:pPr>
        <w:pStyle w:val="ArticleBody"/>
        <w:jc w:val="left"/>
      </w:pPr>
      <w:r>
        <w:rPr>
          <w:rFonts w:ascii="Times New Roman" w:hAnsi="Times New Roman" w:eastAsia="Times New Roman" w:cs="Times New Roman"/>
        </w:rPr>
        <w:t>Molaetsa o neng o tshwanetse go sirelediwa ke badisa ba mo nakong ya moengele wa ntlha e ne e le go supiwa ga boammaaruri (mabenyabenyane a ga Miller), jo kwa bofelong bo neng jwa emelwa mo ditšhateng tse pedi tse di boitshepo tsa 1843 le 1850. Mo tsamaong ya ngangiisano eo go ne go tla nna le kgobalo ya tebelelo e e neng ya tshwaya karogano go tswa mo ditlhopheng tse pedi tse di ganetsanang, le pitso ya boineelo jo bo boteng go ba ba ikanyegang.</w:t>
      </w:r>
    </w:p>
    <w:p>
      <w:pPr>
        <w:pStyle w:val="ArticleBody"/>
        <w:jc w:val="left"/>
      </w:pPr>
      <w:r>
        <w:rPr>
          <w:rFonts w:ascii="Times New Roman" w:hAnsi="Times New Roman" w:eastAsia="Times New Roman" w:cs="Times New Roman"/>
        </w:rPr>
        <w:t>Kemudian Habakuk mengenal pasti perbezaan antara dua golongan yang terlibat dalam proses pengujian kebenaran-kebenaran asas itu. Proses pengujian tersebut, yang merangkumi perdebatan antara dua golongan yang terdiam pada 22 Oktober 1844, berakhir tepat di tempat berakhirnya Habakuk fasal dua.</w:t>
      </w:r>
    </w:p>
    <w:p>
      <w:pPr>
        <w:pStyle w:val="ArticleScripture"/>
        <w:jc w:val="left"/>
      </w:pPr>
      <w:r>
        <w:rPr>
          <w:rFonts w:ascii="Times New Roman" w:hAnsi="Times New Roman" w:eastAsia="Times New Roman" w:cs="Times New Roman"/>
        </w:rPr>
        <w:t>Tetapi TUHAN ada di dalam bait-Nya yang kudus; berdiam dirilah seluruh bumi di hadapan-Nya. Habakuk 2:20.</w:t>
      </w:r>
    </w:p>
    <w:p>
      <w:pPr>
        <w:pStyle w:val="ArticleBody"/>
        <w:jc w:val="left"/>
      </w:pPr>
      <w:r>
        <w:rPr>
          <w:rFonts w:ascii="Times New Roman" w:hAnsi="Times New Roman" w:eastAsia="Times New Roman" w:cs="Times New Roman"/>
        </w:rPr>
        <w:t>Tuhan dengan tiba-tiba memasuki Bait Suci Millerite-Nya, dan pada waktu itu seluruh bumi harus berdiam diri, karena Hari Pendamaian antitipe telah tiba dan penghakiman atas orang-orang mati telah dimulai. Sejarah kenabian dalam Habakuk pasal dua berakhir pada 22 Oktober 1844, dan Yesus senantiasa mengidentifikasikan akhir suatu perkara dengan permulaan suatu perkara. Permulaan dua penglihatan tentang dua ribu lima ratus dua puluh tahun penindasan atas tempat kudus dan bala tentara, dan penglihatan tentang pemulihan tempat kudus dan bala tentara, dimulai bersama-sama, tetapi dipisahkan oleh dua ratus dua puluh tahun, dan ketika keduanya berakhir, hal itu ditandai sebagai telah berakhir, dalam Habakuk pasal DUA ayat DUA PULUH.</w:t>
      </w:r>
    </w:p>
    <w:p>
      <w:pPr>
        <w:pStyle w:val="ArticleBody"/>
        <w:jc w:val="left"/>
      </w:pPr>
      <w:r>
        <w:rPr>
          <w:rFonts w:ascii="Times New Roman" w:hAnsi="Times New Roman" w:eastAsia="Times New Roman" w:cs="Times New Roman"/>
        </w:rPr>
        <w:t>Pada hukum hari Minggu yang segera datang, beberapa nubuatan akan digenapi. Salah satu dari nubuatan itu ialah tertundanya penglihatan sebagaimana dilukiskan dalam Habakuk pasal dua. Habakuk pasal dua mengidentifikasi pengalaman baik pergerakan malaikat pertama maupun malaikat ketiga. Kedua pergerakan itu berhadapan dengan suatu perdebatan mengenai metodologi Alkitabiah yang benar, yang berlangsung antara para wakil dari pergerakan itu dan umat pilihan terdahulu yang sedang dilewati dalam proses perdebatan tersebut.</w:t>
      </w:r>
    </w:p>
    <w:p>
      <w:pPr>
        <w:pStyle w:val="ArticleBody"/>
        <w:jc w:val="left"/>
      </w:pPr>
      <w:r>
        <w:rPr>
          <w:rFonts w:ascii="Times New Roman" w:hAnsi="Times New Roman" w:eastAsia="Times New Roman" w:cs="Times New Roman"/>
        </w:rPr>
        <w:t>Molaetsa oo balebedi ba histori ya lengeloi la boraro ba tshwanetseng ho o sireletsa ke ho tsebahatsa dithuto tsa nnete (mabenyabje a Miller), tseo qetellong di ileng tsa emelwa hodima ditjhate tse pedi tse halalelang tsa 1843 le 1850. Tshebetsong ya ngangisano ho ile ha eba le ho swaba ho ileng ha tshwaya karohano pakeng tsa mekgahlelo e mmedi e hanyetsanang, mme ha eba le pitso ya boinehelo bo tebileng haholoanyane ho ba tshepahalang. Jwale Habakuke o supa phapang pakeng tsa mekgahlelo e mmedi e amehang tshebetsong ya teko ya dithuto tsa motheo. Tshebetso eo ya teko, e neng e emetswe ke ngangisano pakeng tsa mekgahlelo e mmedi, e tla fela ka botlalo molaong wa Sontaha o tlang haufinyane, hantle moo kgaolo ya bobedi ya Habakuke e qetelletseng teng.</w:t>
      </w:r>
    </w:p>
    <w:p>
      <w:pPr>
        <w:pStyle w:val="ArticleScripture"/>
        <w:jc w:val="left"/>
      </w:pPr>
      <w:r>
        <w:rPr>
          <w:rFonts w:ascii="Times New Roman" w:hAnsi="Times New Roman" w:eastAsia="Times New Roman" w:cs="Times New Roman"/>
        </w:rPr>
        <w:t>Tetapi TUHAN ada di dalam bait-Nya yang kudus; berdiam dirilah seluruh bumi di hadapan-Nya. Habakuk 2:20.</w:t>
      </w:r>
    </w:p>
    <w:p>
      <w:pPr>
        <w:pStyle w:val="ArticleBody"/>
        <w:jc w:val="left"/>
      </w:pPr>
      <w:r>
        <w:rPr>
          <w:rFonts w:ascii="Times New Roman" w:hAnsi="Times New Roman" w:eastAsia="Times New Roman" w:cs="Times New Roman"/>
        </w:rPr>
        <w:t>Tuhan akan dengan tiba-tiba memasuki bait suci bagi seratus empat puluh empat ribu orang itu, dan seluruh bumi kemudian akan berdiam diri, karena Hari Pendamaian antitipe akan mencapai penghakiman atas orang-orang yang hidup. Sejarah nubuatan dalam Habakuk pasal dua berakhir pada hukum hari Minggu yang segera datang, dan Yesus senantiasa mengaitkan akhir suatu perkara dengan permulaan suatu perkara.</w:t>
      </w:r>
    </w:p>
    <w:p>
      <w:pPr>
        <w:pStyle w:val="ArticleBody"/>
        <w:jc w:val="left"/>
      </w:pPr>
      <w:r>
        <w:rPr>
          <w:rFonts w:ascii="Times New Roman" w:hAnsi="Times New Roman" w:eastAsia="Times New Roman" w:cs="Times New Roman"/>
        </w:rPr>
        <w:t>Bi bu anigyefo a wɔte ase no fii ase wɔ September 11, 2001, nanso atemmu no yɛ adeyɛ bi a ɛkɔ so. Saa adeyɛ no fi ase wɔ Onyankopɔn fi mu, na ɛno akyi no edu baabi a atemmu ba wɔn a wɔwɔ Onyankopɔn fi no akyi no so. Bere a wɔmaa New York City adan akɛse no hwee ase no, atemmu a wɔde gyina hɔ ma no, a ɛne sɛ ɔbɔfo a ɔde nsɔano hyɛ agyirae no fa Yerusalem mu na ɔde agyiraehyɛde si wɔn a wɔsi apini na wosu wɔ akyiwade a wɔyɛ wɔ asafo no mu no ho, ne akyiwade a wɔyɛ wɔ asase no so nso, fii ase. Wɔ Sunday mmara a ɛreba ntɛm no mu no, Kristo bɛwie adwuma a ɔde resi asɔredan a ɛyɛ ɔhaha ne aduanan anan no, na ɔsɛe abɔfo no de atemmu bɛba Yerusalem so.</w:t>
      </w:r>
    </w:p>
    <w:p>
      <w:pPr>
        <w:pStyle w:val="ArticleBody"/>
        <w:jc w:val="left"/>
      </w:pPr>
      <w:r>
        <w:rPr>
          <w:rFonts w:ascii="Times New Roman" w:hAnsi="Times New Roman" w:eastAsia="Times New Roman" w:cs="Times New Roman"/>
        </w:rPr>
        <w:t>Yang seratus empat puluh empat ribu itu kemudian diangkat sebagai panji, dan penghakiman atas orang-orang hidup pun dimulakan bagi kawanan yang lain, yang dilambangkan oleh Edom, Moab, dan para terkemuka bani Amon dalam Daniel pasal sebelas, ayat empat puluh satu.</w:t>
      </w:r>
    </w:p>
    <w:p>
      <w:pPr>
        <w:pStyle w:val="ArticleBody"/>
        <w:jc w:val="left"/>
      </w:pPr>
      <w:r>
        <w:rPr>
          <w:rFonts w:ascii="Times New Roman" w:hAnsi="Times New Roman" w:eastAsia="Times New Roman" w:cs="Times New Roman"/>
        </w:rPr>
        <w:t>Sama ada meninjau gerakan Millerit bagi malaikat pertama atau gerakan yang perkasa bagi malaikat ketiga, seluruh sejarah gerakan reformasi itu melambangkan suatu penyataan kebenaran yang semakin meningkat, yang mencapai kemuncaknya dengan pencurahan Roh Kudus. Pencurahan Roh Kudus itulah tumpuan nubuatan-nubuatan akhir zaman. Inilah sebabnya anak-anak dara yang bodoh tidak mempunyai minyak, sedangkan yang bijaksana mempunyainya. Minyak itu ialah hujan.</w:t>
      </w:r>
    </w:p>
    <w:p>
      <w:pPr>
        <w:pStyle w:val="ArticleScripture"/>
        <w:jc w:val="left"/>
      </w:pPr>
      <w:r>
        <w:rPr>
          <w:rFonts w:ascii="Times New Roman" w:hAnsi="Times New Roman" w:eastAsia="Times New Roman" w:cs="Times New Roman"/>
        </w:rPr>
        <w:t>Ba re, Ge o ka tlhala mosadi wa gagwe, mme a mo tlogela, a tsamaya mo go ene, a nna wa monna yo mongwe, a o tla boela kwa go ene gape? A lefatshe leo ga le kitla le kgotlelwa thata? Mme wena o dirile boaka le barati ba le bantsi; le fa go ntse jalo, boela gape kwa go nna, go bua Morena. Tsholetsa matlho a gago kwa mafelong a a kwa godimo, mme o bone kwa o sa robalang gone le bone. O ba dutsitse mo ditseleng, jaaka Moarabia mo nageng; mme o kgotletse lefatshe ka boaka jwa gago le ka bosula jwa gago. Ke gone dipula di ileng tsa thibelwa, mme ga nna pula ya morago; mme o ne o na le phatlha ya seaka, wa gana go tlhajwa ke ditlhong. A o ka se ka wa goa kwa go nna go tloga jaanong wa re, Rre, wena o motsamaisi wa bosha jwa me? Jeremia 3:1–4.</w:t>
      </w:r>
    </w:p>
    <w:p>
      <w:pPr>
        <w:pStyle w:val="ArticleBody"/>
        <w:jc w:val="left"/>
      </w:pPr>
      <w:r>
        <w:rPr>
          <w:rFonts w:ascii="Times New Roman" w:hAnsi="Times New Roman" w:eastAsia="Times New Roman" w:cs="Times New Roman"/>
        </w:rPr>
        <w:t>Dalam petikan itu (dan semua nabi berbicara tentang hari-hari terakhir), Allah menyatakan bahawa umat-Nya telah berzina, sehingga mereka mempunyai dahi seorang sundal. Sundal pada akhir zaman ialah kuasa kepausan, dan dahi melambangkan suatu keputusan yang disengajakan. Umat Allah pada akhir zaman adalah jahat, namun Allah sedang menghulurkan panggilan terakhir, meskipun mereka telah sampai ke tahap di mana mereka telah membuat keputusan yang sama seperti sundal itu. Mereka telah membentuk suatu watak yang dilambangkan oleh generasi keempat, di mana mereka bersedia untuk menyembah matahari sebagaimana yang dilambangkan dalam generasi keempat dalam Yehezkiel pasal lapan.</w:t>
      </w:r>
    </w:p>
    <w:p>
      <w:pPr>
        <w:pStyle w:val="ArticleScripture"/>
        <w:jc w:val="left"/>
      </w:pPr>
      <w:r>
        <w:rPr>
          <w:rFonts w:ascii="Times New Roman" w:hAnsi="Times New Roman" w:eastAsia="Times New Roman" w:cs="Times New Roman"/>
        </w:rPr>
        <w:t>“Masa telah tiba bagi terang yang sejati untuk bersinar di tengah-tengah kegelapan moral. Pekabaran malaikat ketiga telah disampaikan ke seluruh dunia, memperingatkan manusia agar jangan menerima tanda binatang itu atau patungnya pada dahi mereka atau pada tangan mereka. Menerima tanda ini berarti mengambil keputusan yang sama seperti yang telah diambil oleh binatang itu, dan mengajukan gagasan-gagasan yang sama, dalam pertentangan langsung dengan firman Allah. Tentang semua orang yang menerima tanda ini, Allah berfirman, ‘Ia juga akan minum dari anggur murka Allah, yang dicurahkan tanpa campuran ke dalam cawan murka-Nya; dan ia akan disiksa dengan api dan belerang di hadapan malaikat-malaikat kudus dan di hadapan Anak Domba.’” Review and Herald, 13 Juli 1897.</w:t>
      </w:r>
    </w:p>
    <w:p>
      <w:pPr>
        <w:pStyle w:val="ArticleBody"/>
        <w:jc w:val="left"/>
      </w:pPr>
      <w:r>
        <w:rPr>
          <w:rFonts w:ascii="Times New Roman" w:hAnsi="Times New Roman" w:eastAsia="Times New Roman" w:cs="Times New Roman"/>
        </w:rPr>
        <w:t>Yeremia sedang mengenal pasti umat Tuhan pada akhir zaman sebagai sudah pun memiliki dahi perempuan sundal itu. Mereka berada di ambang menerima tanda binatang itu kerana mereka “jahat”. Dalam petikan yang baru disebut itu, Sister White meneruskan:</w:t>
      </w:r>
    </w:p>
    <w:p>
      <w:pPr>
        <w:pStyle w:val="ArticleScripture"/>
        <w:jc w:val="left"/>
      </w:pPr>
      <w:r>
        <w:rPr>
          <w:rFonts w:ascii="Times New Roman" w:hAnsi="Times New Roman" w:eastAsia="Times New Roman" w:cs="Times New Roman"/>
        </w:rPr>
        <w:t>“Akapee anɔkwan-hann no akyerɛ wo, de ada homeda a ɛwɔ mmara a ɛtɔ so anan no adi akyerɛ wo, na de akyerɛ sɛ nyinasoɔ biara nni Onyankopɔn Asɛm no mu mma Kwasida sohyɛ no, nanso wokɔ so kata fam bɔ homeda atoro no ho, na wopow sɛ wobɛyɛ homeda a Onyankopɔn frɛ no ‘Me da kronkron’ no kronkron no, ɛno na wugye aboa no agyirae no. Bere bɛn na eyi si?—Bere a wudi ahyɛde no so a ɛhyɛ wo sɛ gyae adwuma Kwasida na som Onyankopɔn no, bere a wunim sɛ asɛm baako mpo nni Bible mu a ɛkyerɛ sɛ Kwasida yɛ biribi foforo biara sen adwuma da a ɛyɛ da biara no, woma wo ho pene so sɛ wubegye aboa no agyirae no, na wopo Onyankopɔn nsɔano no. Sɛ yegye saa agyirae yi wɔ yɛn anim anaa yɛn nsa so a, ɛsɛ sɛ atemmusɛm a wɔaka atia asoɔdenfo no ba yɛn so. Na Onyankopɔn teasefo no nsɔano no de gu wɔn a wɔde wɔn ahonim sie Awurade homeda no so no so.”</w:t>
      </w:r>
    </w:p>
    <w:p>
      <w:pPr>
        <w:pStyle w:val="ArticleScripture"/>
        <w:jc w:val="left"/>
      </w:pPr>
      <w:r>
        <w:rPr>
          <w:rFonts w:ascii="Times New Roman" w:hAnsi="Times New Roman" w:eastAsia="Times New Roman" w:cs="Times New Roman"/>
        </w:rPr>
        <w:t>“‘Na Modimo a bona gore boikepo jwa motho bo ne bo le bogolo mo lefatsheng, le gore kakanyo nngwe le nngwe ya megopolo ya pelo ya gagwe e ne e le bosula fela ka metlha yotlhe…. Lefatshe le lone le ne le senyegile fa pele ga Modimo, mme lefatshe le ne le tletse thubakanyo…. Mme Modimo a raya Noa a re, Bokhutlo jwa nama yotlhe bo tlile fa pele ga me; gonne lefatshe le tletse thubakanyo ka ntlha ya bone; mme bonang, ke tla ba senya mmogo le lefatshe.’ Ba ne ba tshwanetse go kgaolwa ka gonne ba ne ba leswafaditse lefatshe le Modimo o le bopileng gore le ipelelwe ke batho ba ba siameng.</w:t>
      </w:r>
    </w:p>
    <w:p>
      <w:pPr>
        <w:pStyle w:val="ArticleScripture"/>
        <w:jc w:val="left"/>
      </w:pPr>
      <w:r>
        <w:rPr>
          <w:rFonts w:ascii="Times New Roman" w:hAnsi="Times New Roman" w:eastAsia="Times New Roman" w:cs="Times New Roman"/>
        </w:rPr>
        <w:t>“‘Tangani simbo mu mikolo ya Noa,’ Kristo asakolaki, ‘ndenge wana mpe ekozala na mikolo ya Mwana na Moto.’ Mpe ezali te bongo? Moto nyonso oyo akotalela bapapye ya sika ya mokolo na mokolo akoki komona molongo molai ya mabe—kolangwa masanga, moyibi, bopunzi, boyibi ya mbongo ya mosala, koboma. Ntango mosusu mabota mobimba babomamaka, mpo ete posa ya moto wana ya kozwa mbongo to biloko oyo ezali ya ye te ekokisama. Solo, mokili ezali kokoma lokola ezalaki na mikolo ya Noa, mpo bato bazali polele kotyola mibeko ya Nzambe.” Review and Herald, July 13, 1897.</w:t>
      </w:r>
    </w:p>
    <w:p>
      <w:pPr>
        <w:pStyle w:val="ArticleBody"/>
        <w:jc w:val="left"/>
      </w:pPr>
      <w:r>
        <w:rPr>
          <w:rFonts w:ascii="Times New Roman" w:hAnsi="Times New Roman" w:eastAsia="Times New Roman" w:cs="Times New Roman"/>
        </w:rPr>
        <w:t>Yeremia sedang mengenal pasti umat Tuhan pada akhir zaman yang hampir sujud menyembah matahari, dan ketika dia berbuat demikian dia mengenal pasti bahawa “hujan telah ditahan, dan tidak ada hujan akhir; dan engkau mempunyai dahi seorang perempuan sundal, engkau enggan merasa malu.” Orang-orang “fasik” daripada umat Tuhan pada akhir zaman tidak menerima hujan akhir, dan mereka enggan merasa malu, kerana fikiran mereka telah menjadi sentiasa jahat, sebagaimana dilambangkan oleh sejarah Nuh, dan juga oleh kamar-kamar gambaran dalam kekejian yang kedua dalam Yehezkiel fasal lapan.</w:t>
      </w:r>
    </w:p>
    <w:p>
      <w:pPr>
        <w:pStyle w:val="ArticleBody"/>
        <w:jc w:val="left"/>
      </w:pPr>
      <w:r>
        <w:rPr>
          <w:rFonts w:ascii="Times New Roman" w:hAnsi="Times New Roman" w:eastAsia="Times New Roman" w:cs="Times New Roman"/>
        </w:rPr>
        <w:t>Yeremia menuding orang fasik yang tidak tahu malu dari antara umat Allah pada hari-hari terakhir untuk “berseru” “sejak” “waktu” itu kepada “penuntun” “masa muda” mereka. Penuntun masa muda Adventisme ialah kedua loh Habakuk dan permata-permata yang dilambangkan padanya. Satu-satunya pengharapan untuk melepaskan diri dari kefasikan yang akan mendatangkan maut kekal atas orang fasik dari antara umat Allah pada hari-hari terakhir ialah berseru kepada Allah yang menjadi penuntun pada mulanya, yang tiba pada “waktu akhir” pada tahun 1798.</w:t>
      </w:r>
    </w:p>
    <w:p>
      <w:pPr>
        <w:pStyle w:val="ArticleBody"/>
        <w:jc w:val="left"/>
      </w:pPr>
      <w:r>
        <w:rPr>
          <w:rFonts w:ascii="Times New Roman" w:hAnsi="Times New Roman" w:eastAsia="Times New Roman" w:cs="Times New Roman"/>
        </w:rPr>
        <w:t>Isu dalam sejarah malaikat pertama atau ketiga ialah sama ada anda menerima atau tidak menerima hujan akhir. Hujan akhir bermula apabila bangsa-bangsa menjadi murka pada 11 September 2001.</w:t>
      </w:r>
    </w:p>
    <w:p>
      <w:pPr>
        <w:pStyle w:val="ArticleScripture"/>
        <w:jc w:val="left"/>
      </w:pPr>
      <w:r>
        <w:rPr>
          <w:rFonts w:ascii="Times New Roman" w:hAnsi="Times New Roman" w:eastAsia="Times New Roman" w:cs="Times New Roman"/>
        </w:rPr>
        <w:t>“Ekisathini leso, lapho umsebenzi wensindiso ususondela ekupheleni, izinkathazo ziyobe seziwufikela umhlaba, nezizwe ziyothukuthela, nokho zibanjwe zinqandwe ukuze zingaphazamisi umsebenzi wengelosi yesithathu. Ngaleso sikhathi ‘imvula yakamuva,’ noma ukuvuselelwa okuvela ebukhoneni beNkosi, iyofika, ukuze inike amandla ezwini elikhulu lengelosi yesithathu, futhi ilungise abangcwele ukuba beme esikhathini lapho izinhlupho eziyisikhombisa zokugcina ziyakuthululwa.” Early Writings, 85.</w:t>
      </w:r>
    </w:p>
    <w:p>
      <w:pPr>
        <w:pStyle w:val="ArticleBody"/>
        <w:jc w:val="left"/>
      </w:pPr>
      <w:r>
        <w:rPr>
          <w:rFonts w:ascii="Times New Roman" w:hAnsi="Times New Roman" w:eastAsia="Times New Roman" w:cs="Times New Roman"/>
        </w:rPr>
        <w:t>“Хожмын бороо”, мөн “сэргэлт” хэмээн тодорхойлогддог тэр зүйл, үндэстнүүд хилэгнэсэн үед эхэлсэн бөгөөд тэр үед “авралын ажил” хаагдаж эхэлсэн. Илчлэлт номын долоодугаар бүлгийн дөрвөн тэнгэрэлч нэг зуун дөчин дөрвөн мянгыг тамгалан тэмдэглэх ажил гүйцэлдэх зуур дөрвөн салхийг тогтоон барьж байдаг бөгөөд Езекиелийн есдүгээр бүлэгт тэрхүү ажлыг Иерусалимд үйлдэгдэж буй жигшүүрт хэргүүдийн төлөө санаа алдан уйлагчдын дээр тэнгэрэлч нар тэмдэг тавьж буйгаар дүрсэлсэн байдаг. 2001 оны 9 дүгээр сарын 11-нд тэнгэрэлч нар нэг зуун дөчин дөрвөн мянгын духан дээр тэмдэг тавих төгсгөлийн ажлыг эхлүүлсэн.</w:t>
      </w:r>
    </w:p>
    <w:p>
      <w:pPr>
        <w:pStyle w:val="ArticleBody"/>
        <w:jc w:val="left"/>
      </w:pPr>
      <w:r>
        <w:rPr>
          <w:rFonts w:ascii="Times New Roman" w:hAnsi="Times New Roman" w:eastAsia="Times New Roman" w:cs="Times New Roman"/>
        </w:rPr>
        <w:t>Kerja penutupan malaikat ketiga diselesaikan semasa pencurahan hujan akhir, yang juga merupakan “penyegaran”, iaitu suatu pekabaran.</w:t>
      </w:r>
    </w:p>
    <w:p>
      <w:pPr>
        <w:pStyle w:val="ArticleScripture"/>
        <w:jc w:val="left"/>
      </w:pPr>
      <w:r>
        <w:rPr>
          <w:rFonts w:ascii="Times New Roman" w:hAnsi="Times New Roman" w:eastAsia="Times New Roman" w:cs="Times New Roman"/>
        </w:rPr>
        <w:t>Kepada merekalah Ia berfirman: “Inilah tempat perhentian, tempat engkau dapat memberi istirahat kepada yang letih lesu; inilah kelegaan.” Tetapi mereka tidak mau mendengarkan. Yesaya 28:12.</w:t>
      </w:r>
    </w:p>
    <w:p>
      <w:pPr>
        <w:pStyle w:val="ArticleBody"/>
        <w:jc w:val="left"/>
      </w:pPr>
      <w:r>
        <w:rPr>
          <w:rFonts w:ascii="Times New Roman" w:hAnsi="Times New Roman" w:eastAsia="Times New Roman" w:cs="Times New Roman"/>
        </w:rPr>
        <w:t>Molaetsa oo ba hanang ho o utloa ho Esaia ke molaetsa o fanoang ka maleme a kokotlang, hape ke molaetsa oa teko o emelang mokgwa wa “mola hodima mola.”</w:t>
      </w:r>
    </w:p>
    <w:p>
      <w:pPr>
        <w:pStyle w:val="ArticleScripture"/>
        <w:jc w:val="left"/>
      </w:pPr>
      <w:r>
        <w:rPr>
          <w:rFonts w:ascii="Times New Roman" w:hAnsi="Times New Roman" w:eastAsia="Times New Roman" w:cs="Times New Roman"/>
        </w:rPr>
        <w:t>Tetapi firman TUHAN bagi mereka ialah peraturan demi peraturan, peraturan demi peraturan; baris demi baris, baris demi baris; di sini sedikit, dan di sana sedikit; supaya mereka pergi, lalu jatuh terlentang ke belakang, diremukkan, terjerat, dan tertawan. Sebab itu dengarkanlah firman TUHAN, hai orang-orang pencemooh, yang memerintah bangsa ini yang ada di Yerusalem. Oleh sebab kamu telah berkata: Kami telah mengikat perjanjian dengan maut, dan dengan dunia orang mati kami telah mencapai persetujuan; apabila cemeti yang melanda itu melintas, itu tidak akan sampai kepada kami; sebab kami telah menjadikan dusta sebagai tempat perlindungan kami, dan di bawah kepalsuan kami telah menyembunyikan diri. Yesaya 28:13–15.</w:t>
      </w:r>
    </w:p>
    <w:p>
      <w:pPr>
        <w:pStyle w:val="ArticleBody"/>
        <w:jc w:val="left"/>
      </w:pPr>
      <w:r>
        <w:rPr>
          <w:rFonts w:ascii="Times New Roman" w:hAnsi="Times New Roman" w:eastAsia="Times New Roman" w:cs="Times New Roman"/>
        </w:rPr>
        <w:t>Firman Tuhan, yang merupakan pekabaran tentang perhentian dan penyegaran (hujan akhir), yang menyebabkan mereka “pergi, dan jatuh ke belakang, dan diremukkan, dan terjerat, dan tertangkap,” diberikan kepada “orang-orang pencemooh, yang memerintah bangsa ini yang ada di Yerusalem.” Yerusalem adalah tempat para malaikat memberi tanda kepada mereka yang berkeluh kesah dan menangis, dan orang-orang tua yang telah mengkhianati kepercayaan yang dipercayakan kepada mereka adalah yang pertama jatuh.</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ထွက်မြောက်ခြင်း၏</w:t>
      </w:r>
      <w:r>
        <w:rPr>
          <w:rFonts w:ascii="Times New Roman" w:hAnsi="Times New Roman" w:eastAsia="Times New Roman" w:cs="Times New Roman"/>
        </w:rPr>
        <w:t xml:space="preserve"> </w:t>
      </w:r>
      <w:r>
        <w:rPr>
          <w:rFonts w:ascii="Myanmar Text" w:hAnsi="Myanmar Text" w:eastAsia="Myanmar Text" w:cs="Myanmar Text"/>
        </w:rPr>
        <w:t>အမှတ်တံဆိပ်ကို</w:t>
      </w:r>
      <w:r>
        <w:rPr>
          <w:rFonts w:ascii="Times New Roman" w:hAnsi="Times New Roman" w:eastAsia="Times New Roman" w:cs="Times New Roman"/>
        </w:rPr>
        <w:t xml:space="preserve"> ‘</w:t>
      </w:r>
      <w:r>
        <w:rPr>
          <w:rFonts w:ascii="Myanmar Text" w:hAnsi="Myanmar Text" w:eastAsia="Myanmar Text" w:cs="Myanmar Text"/>
        </w:rPr>
        <w:t>ပြုလျက်ရှိသော</w:t>
      </w:r>
      <w:r>
        <w:rPr>
          <w:rFonts w:ascii="Times New Roman" w:hAnsi="Times New Roman" w:eastAsia="Times New Roman" w:cs="Times New Roman"/>
        </w:rPr>
        <w:t xml:space="preserve"> </w:t>
      </w:r>
      <w:r>
        <w:rPr>
          <w:rFonts w:ascii="Myanmar Text" w:hAnsi="Myanmar Text" w:eastAsia="Myanmar Text" w:cs="Myanmar Text"/>
        </w:rPr>
        <w:t>စက်ဆုပ်ဖွယ်ရာအမှုအလုံးစုံတို့ကြောင့်</w:t>
      </w:r>
      <w:r>
        <w:rPr>
          <w:rFonts w:ascii="Times New Roman" w:hAnsi="Times New Roman" w:eastAsia="Times New Roman" w:cs="Times New Roman"/>
        </w:rPr>
        <w:t xml:space="preserve"> </w:t>
      </w:r>
      <w:r>
        <w:rPr>
          <w:rFonts w:ascii="Myanmar Text" w:hAnsi="Myanmar Text" w:eastAsia="Myanmar Text" w:cs="Myanmar Text"/>
        </w:rPr>
        <w:t>ညည်းတွား၍</w:t>
      </w:r>
      <w:r>
        <w:rPr>
          <w:rFonts w:ascii="Times New Roman" w:hAnsi="Times New Roman" w:eastAsia="Times New Roman" w:cs="Times New Roman"/>
        </w:rPr>
        <w:t xml:space="preserve"> </w:t>
      </w:r>
      <w:r>
        <w:rPr>
          <w:rFonts w:ascii="Myanmar Text" w:hAnsi="Myanmar Text" w:eastAsia="Myanmar Text" w:cs="Myanmar Text"/>
        </w:rPr>
        <w:t>ငိုကြွေးသော</w:t>
      </w:r>
      <w:r>
        <w:rPr>
          <w:rFonts w:ascii="Times New Roman" w:hAnsi="Times New Roman" w:eastAsia="Times New Roman" w:cs="Times New Roman"/>
        </w:rPr>
        <w:t xml:space="preserve">’ </w:t>
      </w:r>
      <w:r>
        <w:rPr>
          <w:rFonts w:ascii="Myanmar Text" w:hAnsi="Myanmar Text" w:eastAsia="Myanmar Text" w:cs="Myanmar Text"/>
        </w:rPr>
        <w:t>သူတို့အပေါ်၌</w:t>
      </w:r>
      <w:r>
        <w:rPr>
          <w:rFonts w:ascii="Times New Roman" w:hAnsi="Times New Roman" w:eastAsia="Times New Roman" w:cs="Times New Roman"/>
        </w:rPr>
        <w:t xml:space="preserve"> </w:t>
      </w:r>
      <w:r>
        <w:rPr>
          <w:rFonts w:ascii="Myanmar Text" w:hAnsi="Myanmar Text" w:eastAsia="Myanmar Text" w:cs="Myanmar Text"/>
        </w:rPr>
        <w:t>တင်ထားပြီးဖြစ်သည်။</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သေမင်း၏</w:t>
      </w:r>
      <w:r>
        <w:rPr>
          <w:rFonts w:ascii="Times New Roman" w:hAnsi="Times New Roman" w:eastAsia="Times New Roman" w:cs="Times New Roman"/>
        </w:rPr>
        <w:t xml:space="preserve"> </w:t>
      </w:r>
      <w:r>
        <w:rPr>
          <w:rFonts w:ascii="Myanmar Text" w:hAnsi="Myanmar Text" w:eastAsia="Myanmar Text" w:cs="Myanmar Text"/>
        </w:rPr>
        <w:t>ကောင်းကင်တမန်သည်</w:t>
      </w:r>
      <w:r>
        <w:rPr>
          <w:rFonts w:ascii="Times New Roman" w:hAnsi="Times New Roman" w:eastAsia="Times New Roman" w:cs="Times New Roman"/>
        </w:rPr>
        <w:t xml:space="preserve"> </w:t>
      </w:r>
      <w:r>
        <w:rPr>
          <w:rFonts w:ascii="Myanmar Text" w:hAnsi="Myanmar Text" w:eastAsia="Myanmar Text" w:cs="Myanmar Text"/>
        </w:rPr>
        <w:t>ထွက်သွားလျက်ရှိ၏။</w:t>
      </w:r>
      <w:r>
        <w:rPr>
          <w:rFonts w:ascii="Times New Roman" w:hAnsi="Times New Roman" w:eastAsia="Times New Roman" w:cs="Times New Roman"/>
        </w:rPr>
        <w:t xml:space="preserve"> </w:t>
      </w:r>
      <w:r>
        <w:rPr>
          <w:rFonts w:ascii="Myanmar Text" w:hAnsi="Myanmar Text" w:eastAsia="Myanmar Text" w:cs="Myanmar Text"/>
        </w:rPr>
        <w:t>ထိုကောင်းကင်တမန်ကို</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w:t>
      </w:r>
      <w:r>
        <w:rPr>
          <w:rFonts w:ascii="Myanmar Text" w:hAnsi="Myanmar Text" w:eastAsia="Myanmar Text" w:cs="Myanmar Text"/>
        </w:rPr>
        <w:t>ရူပါရုံ၌</w:t>
      </w:r>
      <w:r>
        <w:rPr>
          <w:rFonts w:ascii="Times New Roman" w:hAnsi="Times New Roman" w:eastAsia="Times New Roman" w:cs="Times New Roman"/>
        </w:rPr>
        <w:t xml:space="preserve"> </w:t>
      </w:r>
      <w:r>
        <w:rPr>
          <w:rFonts w:ascii="Myanmar Text" w:hAnsi="Myanmar Text" w:eastAsia="Myanmar Text" w:cs="Myanmar Text"/>
        </w:rPr>
        <w:t>သတ်ဖြတ်ရေးလက်နက်များကို</w:t>
      </w:r>
      <w:r>
        <w:rPr>
          <w:rFonts w:ascii="Times New Roman" w:hAnsi="Times New Roman" w:eastAsia="Times New Roman" w:cs="Times New Roman"/>
        </w:rPr>
        <w:t xml:space="preserve"> </w:t>
      </w:r>
      <w:r>
        <w:rPr>
          <w:rFonts w:ascii="Myanmar Text" w:hAnsi="Myanmar Text" w:eastAsia="Myanmar Text" w:cs="Myanmar Text"/>
        </w:rPr>
        <w:t>ကိုင်ဆောင်သော</w:t>
      </w:r>
      <w:r>
        <w:rPr>
          <w:rFonts w:ascii="Times New Roman" w:hAnsi="Times New Roman" w:eastAsia="Times New Roman" w:cs="Times New Roman"/>
        </w:rPr>
        <w:t xml:space="preserve"> </w:t>
      </w:r>
      <w:r>
        <w:rPr>
          <w:rFonts w:ascii="Myanmar Text" w:hAnsi="Myanmar Text" w:eastAsia="Myanmar Text" w:cs="Myanmar Text"/>
        </w:rPr>
        <w:t>လူတို့အားဖြင့်</w:t>
      </w:r>
      <w:r>
        <w:rPr>
          <w:rFonts w:ascii="Times New Roman" w:hAnsi="Times New Roman" w:eastAsia="Times New Roman" w:cs="Times New Roman"/>
        </w:rPr>
        <w:t xml:space="preserve"> </w:t>
      </w:r>
      <w:r>
        <w:rPr>
          <w:rFonts w:ascii="Myanmar Text" w:hAnsi="Myanmar Text" w:eastAsia="Myanmar Text" w:cs="Myanmar Text"/>
        </w:rPr>
        <w:t>ကိုယ်စားပြုထားပြီး၊</w:t>
      </w:r>
      <w:r>
        <w:rPr>
          <w:rFonts w:ascii="Times New Roman" w:hAnsi="Times New Roman" w:eastAsia="Times New Roman" w:cs="Times New Roman"/>
        </w:rPr>
        <w:t xml:space="preserve"> </w:t>
      </w:r>
      <w:r>
        <w:rPr>
          <w:rFonts w:ascii="Myanmar Text" w:hAnsi="Myanmar Text" w:eastAsia="Myanmar Text" w:cs="Myanmar Text"/>
        </w:rPr>
        <w:t>ထိုသူတို့အား</w:t>
      </w:r>
      <w:r>
        <w:rPr>
          <w:rFonts w:ascii="Times New Roman" w:hAnsi="Times New Roman" w:eastAsia="Times New Roman" w:cs="Times New Roman"/>
        </w:rPr>
        <w:t xml:space="preserve"> </w:t>
      </w:r>
      <w:r>
        <w:rPr>
          <w:rFonts w:ascii="Myanmar Text" w:hAnsi="Myanmar Text" w:eastAsia="Myanmar Text" w:cs="Myanmar Text"/>
        </w:rPr>
        <w:t>ဤသို့</w:t>
      </w:r>
      <w:r>
        <w:rPr>
          <w:rFonts w:ascii="Times New Roman" w:hAnsi="Times New Roman" w:eastAsia="Times New Roman" w:cs="Times New Roman"/>
        </w:rPr>
        <w:t xml:space="preserve"> </w:t>
      </w:r>
      <w:r>
        <w:rPr>
          <w:rFonts w:ascii="Myanmar Text" w:hAnsi="Myanmar Text" w:eastAsia="Myanmar Text" w:cs="Myanmar Text"/>
        </w:rPr>
        <w:t>အမိန့်ပေးထား၏။</w:t>
      </w:r>
      <w:r>
        <w:rPr>
          <w:rFonts w:ascii="Times New Roman" w:hAnsi="Times New Roman" w:eastAsia="Times New Roman" w:cs="Times New Roman"/>
        </w:rPr>
        <w:t xml:space="preserve"> ‘</w:t>
      </w:r>
      <w:r>
        <w:rPr>
          <w:rFonts w:ascii="Myanmar Text" w:hAnsi="Myanmar Text" w:eastAsia="Myanmar Text" w:cs="Myanmar Text"/>
        </w:rPr>
        <w:t>အိုမင်းသူနှင့်</w:t>
      </w:r>
      <w:r>
        <w:rPr>
          <w:rFonts w:ascii="Times New Roman" w:hAnsi="Times New Roman" w:eastAsia="Times New Roman" w:cs="Times New Roman"/>
        </w:rPr>
        <w:t xml:space="preserve"> </w:t>
      </w:r>
      <w:r>
        <w:rPr>
          <w:rFonts w:ascii="Myanmar Text" w:hAnsi="Myanmar Text" w:eastAsia="Myanmar Text" w:cs="Myanmar Text"/>
        </w:rPr>
        <w:t>လူငယ်၊</w:t>
      </w:r>
      <w:r>
        <w:rPr>
          <w:rFonts w:ascii="Times New Roman" w:hAnsi="Times New Roman" w:eastAsia="Times New Roman" w:cs="Times New Roman"/>
        </w:rPr>
        <w:t xml:space="preserve"> </w:t>
      </w:r>
      <w:r>
        <w:rPr>
          <w:rFonts w:ascii="Myanmar Text" w:hAnsi="Myanmar Text" w:eastAsia="Myanmar Text" w:cs="Myanmar Text"/>
        </w:rPr>
        <w:t>အပျိုနှင့်</w:t>
      </w:r>
      <w:r>
        <w:rPr>
          <w:rFonts w:ascii="Times New Roman" w:hAnsi="Times New Roman" w:eastAsia="Times New Roman" w:cs="Times New Roman"/>
        </w:rPr>
        <w:t xml:space="preserve"> </w:t>
      </w:r>
      <w:r>
        <w:rPr>
          <w:rFonts w:ascii="Myanmar Text" w:hAnsi="Myanmar Text" w:eastAsia="Myanmar Text" w:cs="Myanmar Text"/>
        </w:rPr>
        <w:t>ကလေးငယ်များ၊</w:t>
      </w:r>
      <w:r>
        <w:rPr>
          <w:rFonts w:ascii="Times New Roman" w:hAnsi="Times New Roman" w:eastAsia="Times New Roman" w:cs="Times New Roman"/>
        </w:rPr>
        <w:t xml:space="preserve"> </w:t>
      </w:r>
      <w:r>
        <w:rPr>
          <w:rFonts w:ascii="Myanmar Text" w:hAnsi="Myanmar Text" w:eastAsia="Myanmar Text" w:cs="Myanmar Text"/>
        </w:rPr>
        <w:t>မိန်းမတို့ကိုပါ</w:t>
      </w:r>
      <w:r>
        <w:rPr>
          <w:rFonts w:ascii="Times New Roman" w:hAnsi="Times New Roman" w:eastAsia="Times New Roman" w:cs="Times New Roman"/>
        </w:rPr>
        <w:t xml:space="preserve"> </w:t>
      </w:r>
      <w:r>
        <w:rPr>
          <w:rFonts w:ascii="Myanmar Text" w:hAnsi="Myanmar Text" w:eastAsia="Myanmar Text" w:cs="Myanmar Text"/>
        </w:rPr>
        <w:t>လုံးဝ</w:t>
      </w:r>
      <w:r>
        <w:rPr>
          <w:rFonts w:ascii="Times New Roman" w:hAnsi="Times New Roman" w:eastAsia="Times New Roman" w:cs="Times New Roman"/>
        </w:rPr>
        <w:t xml:space="preserve"> </w:t>
      </w:r>
      <w:r>
        <w:rPr>
          <w:rFonts w:ascii="Myanmar Text" w:hAnsi="Myanmar Text" w:eastAsia="Myanmar Text" w:cs="Myanmar Text"/>
        </w:rPr>
        <w:t>သတ်ကြလော့။</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အမှတ်တံဆိပ်ရှိသော</w:t>
      </w:r>
      <w:r>
        <w:rPr>
          <w:rFonts w:ascii="Times New Roman" w:hAnsi="Times New Roman" w:eastAsia="Times New Roman" w:cs="Times New Roman"/>
        </w:rPr>
        <w:t xml:space="preserve"> </w:t>
      </w:r>
      <w:r>
        <w:rPr>
          <w:rFonts w:ascii="Myanmar Text" w:hAnsi="Myanmar Text" w:eastAsia="Myanmar Text" w:cs="Myanmar Text"/>
        </w:rPr>
        <w:t>မည်သူ့ထံသို့မျှ</w:t>
      </w:r>
      <w:r>
        <w:rPr>
          <w:rFonts w:ascii="Times New Roman" w:hAnsi="Times New Roman" w:eastAsia="Times New Roman" w:cs="Times New Roman"/>
        </w:rPr>
        <w:t xml:space="preserve"> </w:t>
      </w:r>
      <w:r>
        <w:rPr>
          <w:rFonts w:ascii="Myanmar Text" w:hAnsi="Myanmar Text" w:eastAsia="Myanmar Text" w:cs="Myanmar Text"/>
        </w:rPr>
        <w:t>မချဉ်းကပ်ကြနှင့်။</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သန့်ရှင်းရာဌာနမှ</w:t>
      </w:r>
      <w:r>
        <w:rPr>
          <w:rFonts w:ascii="Times New Roman" w:hAnsi="Times New Roman" w:eastAsia="Times New Roman" w:cs="Times New Roman"/>
        </w:rPr>
        <w:t xml:space="preserve"> </w:t>
      </w:r>
      <w:r>
        <w:rPr>
          <w:rFonts w:ascii="Myanmar Text" w:hAnsi="Myanmar Text" w:eastAsia="Myanmar Text" w:cs="Myanmar Text"/>
        </w:rPr>
        <w:t>စတင်ကြလော့။</w:t>
      </w:r>
      <w:r>
        <w:rPr>
          <w:rFonts w:ascii="Times New Roman" w:hAnsi="Times New Roman" w:eastAsia="Times New Roman" w:cs="Times New Roman"/>
        </w:rPr>
        <w:t xml:space="preserve">’ </w:t>
      </w:r>
      <w:r>
        <w:rPr>
          <w:rFonts w:ascii="Myanmar Text" w:hAnsi="Myanmar Text" w:eastAsia="Myanmar Text" w:cs="Myanmar Text"/>
        </w:rPr>
        <w:t>ပရောဖက်က</w:t>
      </w:r>
      <w:r>
        <w:rPr>
          <w:rFonts w:ascii="Times New Roman" w:hAnsi="Times New Roman" w:eastAsia="Times New Roman" w:cs="Times New Roman"/>
        </w:rPr>
        <w:t xml:space="preserve"> </w:t>
      </w:r>
      <w:r>
        <w:rPr>
          <w:rFonts w:ascii="Myanmar Text" w:hAnsi="Myanmar Text" w:eastAsia="Myanmar Text" w:cs="Myanmar Text"/>
        </w:rPr>
        <w:t>ဤသို့</w:t>
      </w:r>
      <w:r>
        <w:rPr>
          <w:rFonts w:ascii="Times New Roman" w:hAnsi="Times New Roman" w:eastAsia="Times New Roman" w:cs="Times New Roman"/>
        </w:rPr>
        <w:t xml:space="preserve"> </w:t>
      </w:r>
      <w:r>
        <w:rPr>
          <w:rFonts w:ascii="Myanmar Text" w:hAnsi="Myanmar Text" w:eastAsia="Myanmar Text" w:cs="Myanmar Text"/>
        </w:rPr>
        <w:t>ဆို၏။</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အိမ်တော်ရှေ့၌ရှိသော</w:t>
      </w:r>
      <w:r>
        <w:rPr>
          <w:rFonts w:ascii="Times New Roman" w:hAnsi="Times New Roman" w:eastAsia="Times New Roman" w:cs="Times New Roman"/>
        </w:rPr>
        <w:t xml:space="preserve"> </w:t>
      </w:r>
      <w:r>
        <w:rPr>
          <w:rFonts w:ascii="Myanmar Text" w:hAnsi="Myanmar Text" w:eastAsia="Myanmar Text" w:cs="Myanmar Text"/>
        </w:rPr>
        <w:t>အသက်ကြီးသူတို့ထံမှ</w:t>
      </w:r>
      <w:r>
        <w:rPr>
          <w:rFonts w:ascii="Times New Roman" w:hAnsi="Times New Roman" w:eastAsia="Times New Roman" w:cs="Times New Roman"/>
        </w:rPr>
        <w:t xml:space="preserve"> </w:t>
      </w:r>
      <w:r>
        <w:rPr>
          <w:rFonts w:ascii="Myanmar Text" w:hAnsi="Myanmar Text" w:eastAsia="Myanmar Text" w:cs="Myanmar Text"/>
        </w:rPr>
        <w:t>စတင်ကြ၏။</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9:1–6</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ဖျက်ဆီးခြင်း၏</w:t>
      </w:r>
      <w:r>
        <w:rPr>
          <w:rFonts w:ascii="Times New Roman" w:hAnsi="Times New Roman" w:eastAsia="Times New Roman" w:cs="Times New Roman"/>
        </w:rPr>
        <w:t xml:space="preserve"> </w:t>
      </w:r>
      <w:r>
        <w:rPr>
          <w:rFonts w:ascii="Myanmar Text" w:hAnsi="Myanmar Text" w:eastAsia="Myanmar Text" w:cs="Myanmar Text"/>
        </w:rPr>
        <w:t>အမှုသည်</w:t>
      </w:r>
      <w:r>
        <w:rPr>
          <w:rFonts w:ascii="Times New Roman" w:hAnsi="Times New Roman" w:eastAsia="Times New Roman" w:cs="Times New Roman"/>
        </w:rPr>
        <w:t xml:space="preserve"> </w:t>
      </w:r>
      <w:r>
        <w:rPr>
          <w:rFonts w:ascii="Myanmar Text" w:hAnsi="Myanmar Text" w:eastAsia="Myanmar Text" w:cs="Myanmar Text"/>
        </w:rPr>
        <w:t>လူမျိုးအတွက်</w:t>
      </w:r>
      <w:r>
        <w:rPr>
          <w:rFonts w:ascii="Times New Roman" w:hAnsi="Times New Roman" w:eastAsia="Times New Roman" w:cs="Times New Roman"/>
        </w:rPr>
        <w:t xml:space="preserve"> </w:t>
      </w:r>
      <w:r>
        <w:rPr>
          <w:rFonts w:ascii="Myanmar Text" w:hAnsi="Myanmar Text" w:eastAsia="Myanmar Text" w:cs="Myanmar Text"/>
        </w:rPr>
        <w:t>ဝိညာဉ်ရေးဆိုင်ရာ</w:t>
      </w:r>
      <w:r>
        <w:rPr>
          <w:rFonts w:ascii="Times New Roman" w:hAnsi="Times New Roman" w:eastAsia="Times New Roman" w:cs="Times New Roman"/>
        </w:rPr>
        <w:t xml:space="preserve"> </w:t>
      </w:r>
      <w:r>
        <w:rPr>
          <w:rFonts w:ascii="Myanmar Text" w:hAnsi="Myanmar Text" w:eastAsia="Myanmar Text" w:cs="Myanmar Text"/>
        </w:rPr>
        <w:t>စောင့်ရှောက်သူများဖြစ်သည်ဟု</w:t>
      </w:r>
      <w:r>
        <w:rPr>
          <w:rFonts w:ascii="Times New Roman" w:hAnsi="Times New Roman" w:eastAsia="Times New Roman" w:cs="Times New Roman"/>
        </w:rPr>
        <w:t xml:space="preserve"> </w:t>
      </w:r>
      <w:r>
        <w:rPr>
          <w:rFonts w:ascii="Myanmar Text" w:hAnsi="Myanmar Text" w:eastAsia="Myanmar Text" w:cs="Myanmar Text"/>
        </w:rPr>
        <w:t>ခံယူပြောဆိုခဲ့ကြသော</w:t>
      </w:r>
      <w:r>
        <w:rPr>
          <w:rFonts w:ascii="Times New Roman" w:hAnsi="Times New Roman" w:eastAsia="Times New Roman" w:cs="Times New Roman"/>
        </w:rPr>
        <w:t xml:space="preserve"> </w:t>
      </w:r>
      <w:r>
        <w:rPr>
          <w:rFonts w:ascii="Myanmar Text" w:hAnsi="Myanmar Text" w:eastAsia="Myanmar Text" w:cs="Myanmar Text"/>
        </w:rPr>
        <w:t>သူတို့အကြားမှ</w:t>
      </w:r>
      <w:r>
        <w:rPr>
          <w:rFonts w:ascii="Times New Roman" w:hAnsi="Times New Roman" w:eastAsia="Times New Roman" w:cs="Times New Roman"/>
        </w:rPr>
        <w:t xml:space="preserve"> </w:t>
      </w:r>
      <w:r>
        <w:rPr>
          <w:rFonts w:ascii="Myanmar Text" w:hAnsi="Myanmar Text" w:eastAsia="Myanmar Text" w:cs="Myanmar Text"/>
        </w:rPr>
        <w:t>စတင်သည်။</w:t>
      </w:r>
      <w:r>
        <w:rPr>
          <w:rFonts w:ascii="Times New Roman" w:hAnsi="Times New Roman" w:eastAsia="Times New Roman" w:cs="Times New Roman"/>
        </w:rPr>
        <w:t xml:space="preserve"> </w:t>
      </w:r>
      <w:r>
        <w:rPr>
          <w:rFonts w:ascii="Myanmar Text" w:hAnsi="Myanmar Text" w:eastAsia="Myanmar Text" w:cs="Myanmar Text"/>
        </w:rPr>
        <w:t>မမှန်သော</w:t>
      </w:r>
      <w:r>
        <w:rPr>
          <w:rFonts w:ascii="Times New Roman" w:hAnsi="Times New Roman" w:eastAsia="Times New Roman" w:cs="Times New Roman"/>
        </w:rPr>
        <w:t xml:space="preserve"> </w:t>
      </w:r>
      <w:r>
        <w:rPr>
          <w:rFonts w:ascii="Myanmar Text" w:hAnsi="Myanmar Text" w:eastAsia="Myanmar Text" w:cs="Myanmar Text"/>
        </w:rPr>
        <w:t>ကင်းစောင့်တို့သည်</w:t>
      </w:r>
      <w:r>
        <w:rPr>
          <w:rFonts w:ascii="Times New Roman" w:hAnsi="Times New Roman" w:eastAsia="Times New Roman" w:cs="Times New Roman"/>
        </w:rPr>
        <w:t xml:space="preserve"> </w:t>
      </w:r>
      <w:r>
        <w:rPr>
          <w:rFonts w:ascii="Myanmar Text" w:hAnsi="Myanmar Text" w:eastAsia="Myanmar Text" w:cs="Myanmar Text"/>
        </w:rPr>
        <w:t>ပထမဦးစွာ</w:t>
      </w:r>
      <w:r>
        <w:rPr>
          <w:rFonts w:ascii="Times New Roman" w:hAnsi="Times New Roman" w:eastAsia="Times New Roman" w:cs="Times New Roman"/>
        </w:rPr>
        <w:t xml:space="preserve"> </w:t>
      </w:r>
      <w:r>
        <w:rPr>
          <w:rFonts w:ascii="Myanmar Text" w:hAnsi="Myanmar Text" w:eastAsia="Myanmar Text" w:cs="Myanmar Text"/>
        </w:rPr>
        <w:t>လဲကျကြသည်။</w:t>
      </w:r>
      <w:r>
        <w:rPr>
          <w:rFonts w:ascii="Times New Roman" w:hAnsi="Times New Roman" w:eastAsia="Times New Roman" w:cs="Times New Roman"/>
        </w:rPr>
        <w:t xml:space="preserve"> </w:t>
      </w:r>
      <w:r>
        <w:rPr>
          <w:rFonts w:ascii="Myanmar Text" w:hAnsi="Myanmar Text" w:eastAsia="Myanmar Text" w:cs="Myanmar Text"/>
        </w:rPr>
        <w:t>သနားမည့်သူလည်း</w:t>
      </w:r>
      <w:r>
        <w:rPr>
          <w:rFonts w:ascii="Times New Roman" w:hAnsi="Times New Roman" w:eastAsia="Times New Roman" w:cs="Times New Roman"/>
        </w:rPr>
        <w:t xml:space="preserve"> </w:t>
      </w:r>
      <w:r>
        <w:rPr>
          <w:rFonts w:ascii="Myanmar Text" w:hAnsi="Myanmar Text" w:eastAsia="Myanmar Text" w:cs="Myanmar Text"/>
        </w:rPr>
        <w:t>မရှိ၊</w:t>
      </w:r>
      <w:r>
        <w:rPr>
          <w:rFonts w:ascii="Times New Roman" w:hAnsi="Times New Roman" w:eastAsia="Times New Roman" w:cs="Times New Roman"/>
        </w:rPr>
        <w:t xml:space="preserve"> </w:t>
      </w:r>
      <w:r>
        <w:rPr>
          <w:rFonts w:ascii="Myanmar Text" w:hAnsi="Myanmar Text" w:eastAsia="Myanmar Text" w:cs="Myanmar Text"/>
        </w:rPr>
        <w:t>ချမ်းသာပေးမည့်သူလည်း</w:t>
      </w:r>
      <w:r>
        <w:rPr>
          <w:rFonts w:ascii="Times New Roman" w:hAnsi="Times New Roman" w:eastAsia="Times New Roman" w:cs="Times New Roman"/>
        </w:rPr>
        <w:t xml:space="preserve"> </w:t>
      </w:r>
      <w:r>
        <w:rPr>
          <w:rFonts w:ascii="Myanmar Text" w:hAnsi="Myanmar Text" w:eastAsia="Myanmar Text" w:cs="Myanmar Text"/>
        </w:rPr>
        <w:t>မရှိ။</w:t>
      </w:r>
      <w:r>
        <w:rPr>
          <w:rFonts w:ascii="Times New Roman" w:hAnsi="Times New Roman" w:eastAsia="Times New Roman" w:cs="Times New Roman"/>
        </w:rPr>
        <w:t xml:space="preserve"> </w:t>
      </w:r>
      <w:r>
        <w:rPr>
          <w:rFonts w:ascii="Myanmar Text" w:hAnsi="Myanmar Text" w:eastAsia="Myanmar Text" w:cs="Myanmar Text"/>
        </w:rPr>
        <w:t>ယောက်ျား၊</w:t>
      </w:r>
      <w:r>
        <w:rPr>
          <w:rFonts w:ascii="Times New Roman" w:hAnsi="Times New Roman" w:eastAsia="Times New Roman" w:cs="Times New Roman"/>
        </w:rPr>
        <w:t xml:space="preserve"> </w:t>
      </w:r>
      <w:r>
        <w:rPr>
          <w:rFonts w:ascii="Myanmar Text" w:hAnsi="Myanmar Text" w:eastAsia="Myanmar Text" w:cs="Myanmar Text"/>
        </w:rPr>
        <w:t>မိန်းမ၊</w:t>
      </w:r>
      <w:r>
        <w:rPr>
          <w:rFonts w:ascii="Times New Roman" w:hAnsi="Times New Roman" w:eastAsia="Times New Roman" w:cs="Times New Roman"/>
        </w:rPr>
        <w:t xml:space="preserve"> </w:t>
      </w:r>
      <w:r>
        <w:rPr>
          <w:rFonts w:ascii="Myanmar Text" w:hAnsi="Myanmar Text" w:eastAsia="Myanmar Text" w:cs="Myanmar Text"/>
        </w:rPr>
        <w:t>အပျိုများနှင့်</w:t>
      </w:r>
      <w:r>
        <w:rPr>
          <w:rFonts w:ascii="Times New Roman" w:hAnsi="Times New Roman" w:eastAsia="Times New Roman" w:cs="Times New Roman"/>
        </w:rPr>
        <w:t xml:space="preserve"> </w:t>
      </w:r>
      <w:r>
        <w:rPr>
          <w:rFonts w:ascii="Myanmar Text" w:hAnsi="Myanmar Text" w:eastAsia="Myanmar Text" w:cs="Myanmar Text"/>
        </w:rPr>
        <w:t>ကလေးငယ်များသည်</w:t>
      </w:r>
      <w:r>
        <w:rPr>
          <w:rFonts w:ascii="Times New Roman" w:hAnsi="Times New Roman" w:eastAsia="Times New Roman" w:cs="Times New Roman"/>
        </w:rPr>
        <w:t xml:space="preserve"> </w:t>
      </w:r>
      <w:r>
        <w:rPr>
          <w:rFonts w:ascii="Myanmar Text" w:hAnsi="Myanmar Text" w:eastAsia="Myanmar Text" w:cs="Myanmar Text"/>
        </w:rPr>
        <w:t>အတူတကွ</w:t>
      </w:r>
      <w:r>
        <w:rPr>
          <w:rFonts w:ascii="Times New Roman" w:hAnsi="Times New Roman" w:eastAsia="Times New Roman" w:cs="Times New Roman"/>
        </w:rPr>
        <w:t xml:space="preserve"> </w:t>
      </w:r>
      <w:r>
        <w:rPr>
          <w:rFonts w:ascii="Myanmar Text" w:hAnsi="Myanmar Text" w:eastAsia="Myanmar Text" w:cs="Myanmar Text"/>
        </w:rPr>
        <w:t>ပျက်စီးကြ၏။</w:t>
      </w:r>
      <w:r>
        <w:rPr>
          <w:rFonts w:ascii="Times New Roman" w:hAnsi="Times New Roman" w:eastAsia="Times New Roman" w:cs="Times New Roman"/>
        </w:rPr>
        <w:t>” The Great Controversy, 656.</w:t>
      </w:r>
    </w:p>
    <w:p>
      <w:pPr>
        <w:pStyle w:val="ArticleBody"/>
        <w:jc w:val="left"/>
      </w:pPr>
      <w:r>
        <w:rPr>
          <w:rFonts w:ascii="Times New Roman" w:hAnsi="Times New Roman" w:eastAsia="Times New Roman" w:cs="Times New Roman"/>
        </w:rPr>
        <w:t>A riang berbiak pasal peningkatan pengetahuan ke datai ba taun 1989 nya, dalam artikel ti deka datai.</w:t>
      </w:r>
    </w:p>
    <w:p>
      <w:pPr>
        <w:pStyle w:val="ArticleScripture"/>
        <w:jc w:val="left"/>
      </w:pPr>
      <w:r>
        <w:rPr>
          <w:rFonts w:ascii="Times New Roman" w:hAnsi="Times New Roman" w:eastAsia="Times New Roman" w:cs="Times New Roman"/>
        </w:rPr>
        <w:t>“</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ꯑꯄꯥꯛꯄꯒꯤ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ꯌꯦꯡꯕ</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ꯄꯨꯝꯅꯃꯛꯀꯤ</w:t>
      </w:r>
      <w:r>
        <w:rPr>
          <w:rFonts w:ascii="Times New Roman" w:hAnsi="Times New Roman" w:eastAsia="Times New Roman" w:cs="Times New Roman"/>
        </w:rPr>
        <w:t xml:space="preserve"> </w:t>
      </w:r>
      <w:r>
        <w:rPr>
          <w:rFonts w:ascii="Nirmala UI" w:hAnsi="Nirmala UI" w:eastAsia="Nirmala UI" w:cs="Nirmala UI"/>
        </w:rPr>
        <w:t>ꯊꯃꯣꯏ</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ꯃꯥꯡꯇ</w:t>
      </w:r>
      <w:r>
        <w:rPr>
          <w:rFonts w:ascii="Times New Roman" w:hAnsi="Times New Roman" w:eastAsia="Times New Roman" w:cs="Times New Roman"/>
        </w:rPr>
        <w:t xml:space="preserve"> </w:t>
      </w:r>
      <w:r>
        <w:rPr>
          <w:rFonts w:ascii="Nirmala UI" w:hAnsi="Nirmala UI" w:eastAsia="Nirmala UI" w:cs="Nirmala UI"/>
        </w:rPr>
        <w:t>ꯆꯥꯎꯕ</w:t>
      </w:r>
      <w:r>
        <w:rPr>
          <w:rFonts w:ascii="Times New Roman" w:hAnsi="Times New Roman" w:eastAsia="Times New Roman" w:cs="Times New Roman"/>
        </w:rPr>
        <w:t xml:space="preserve"> </w:t>
      </w:r>
      <w:r>
        <w:rPr>
          <w:rFonts w:ascii="Nirmala UI" w:hAnsi="Nirmala UI" w:eastAsia="Nirmala UI" w:cs="Nirmala UI"/>
        </w:rPr>
        <w:t>ꯃꯤꯑꯣꯏꯁꯤꯡꯒꯤ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ꯍꯥꯏꯌꯦ</w:t>
      </w:r>
      <w:r>
        <w:rPr>
          <w:rFonts w:ascii="Times New Roman" w:hAnsi="Times New Roman" w:eastAsia="Times New Roman" w:cs="Times New Roman"/>
        </w:rPr>
        <w:t>: ‘</w:t>
      </w:r>
      <w:r>
        <w:rPr>
          <w:rFonts w:ascii="Nirmala UI" w:hAnsi="Nirmala UI" w:eastAsia="Nirmala UI" w:cs="Nirmala UI"/>
        </w:rPr>
        <w:t>ꯃꯈꯣꯏꯁꯤꯡ</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ꯃꯣꯔꯦꯜ</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ꯁ꯭ꯄꯤꯔꯤꯆꯨꯋꯦꯜ</w:t>
      </w:r>
      <w:r>
        <w:rPr>
          <w:rFonts w:ascii="Times New Roman" w:hAnsi="Times New Roman" w:eastAsia="Times New Roman" w:cs="Times New Roman"/>
        </w:rPr>
        <w:t xml:space="preserve"> </w:t>
      </w:r>
      <w:r>
        <w:rPr>
          <w:rFonts w:ascii="Nirmala UI" w:hAnsi="Nirmala UI" w:eastAsia="Nirmala UI" w:cs="Nirmala UI"/>
        </w:rPr>
        <w:t>ꯑꯐꯕ</w:t>
      </w:r>
      <w:r>
        <w:rPr>
          <w:rFonts w:ascii="Times New Roman" w:hAnsi="Times New Roman" w:eastAsia="Times New Roman" w:cs="Times New Roman"/>
        </w:rPr>
        <w:t xml:space="preserve"> </w:t>
      </w:r>
      <w:r>
        <w:rPr>
          <w:rFonts w:ascii="Nirmala UI" w:hAnsi="Nirmala UI" w:eastAsia="Nirmala UI" w:cs="Nirmala UI"/>
        </w:rPr>
        <w:t>ꯀꯥꯏꯅ</w:t>
      </w:r>
      <w:r>
        <w:rPr>
          <w:rFonts w:ascii="Times New Roman" w:hAnsi="Times New Roman" w:eastAsia="Times New Roman" w:cs="Times New Roman"/>
        </w:rPr>
        <w:t xml:space="preserve"> </w:t>
      </w:r>
      <w:r>
        <w:rPr>
          <w:rFonts w:ascii="Nirmala UI" w:hAnsi="Nirmala UI" w:eastAsia="Nirmala UI" w:cs="Nirmala UI"/>
        </w:rPr>
        <w:t>ꯑꯥꯞꯄꯒ</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ꯑꯁ꯭ꯇꯟꯅ</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ꯃꯈꯣꯏꯁꯤꯡꯅ</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ꯈꯟꯕ</w:t>
      </w:r>
      <w:r>
        <w:rPr>
          <w:rFonts w:ascii="Times New Roman" w:hAnsi="Times New Roman" w:eastAsia="Times New Roman" w:cs="Times New Roman"/>
        </w:rPr>
        <w:t xml:space="preserve"> </w:t>
      </w:r>
      <w:r>
        <w:rPr>
          <w:rFonts w:ascii="Nirmala UI" w:hAnsi="Nirmala UI" w:eastAsia="Nirmala UI" w:cs="Nirmala UI"/>
        </w:rPr>
        <w:t>ꯂꯝꯁꯤꯡ</w:t>
      </w:r>
      <w:r>
        <w:rPr>
          <w:rFonts w:ascii="Times New Roman" w:hAnsi="Times New Roman" w:eastAsia="Times New Roman" w:cs="Times New Roman"/>
        </w:rPr>
        <w:t xml:space="preserve"> </w:t>
      </w:r>
      <w:r>
        <w:rPr>
          <w:rFonts w:ascii="Nirmala UI" w:hAnsi="Nirmala UI" w:eastAsia="Nirmala UI" w:cs="Nirmala UI"/>
        </w:rPr>
        <w:t>ꯈꯜꯂꯦ</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ꯊꯃꯣꯏꯅ</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ꯍꯛꯆꯥꯡ</w:t>
      </w:r>
      <w:r>
        <w:rPr>
          <w:rFonts w:ascii="Times New Roman" w:hAnsi="Times New Roman" w:eastAsia="Times New Roman" w:cs="Times New Roman"/>
        </w:rPr>
        <w:t xml:space="preserve"> </w:t>
      </w:r>
      <w:r>
        <w:rPr>
          <w:rFonts w:ascii="Nirmala UI" w:hAnsi="Nirmala UI" w:eastAsia="Nirmala UI" w:cs="Nirmala UI"/>
        </w:rPr>
        <w:t>ꯊꯣꯛꯄꯁꯤꯡꯗ</w:t>
      </w:r>
      <w:r>
        <w:rPr>
          <w:rFonts w:ascii="Times New Roman" w:hAnsi="Times New Roman" w:eastAsia="Times New Roman" w:cs="Times New Roman"/>
        </w:rPr>
        <w:t xml:space="preserve"> </w:t>
      </w:r>
      <w:r>
        <w:rPr>
          <w:rFonts w:ascii="Nirmala UI" w:hAnsi="Nirmala UI" w:eastAsia="Nirmala UI" w:cs="Nirmala UI"/>
        </w:rPr>
        <w:t>ꯅꯨꯡꯉꯥꯏꯌꯦ꯫</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ꯑꯁꯨꯝ</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ꯃꯥꯜꯂꯤꯡꯁꯤꯡ</w:t>
      </w:r>
      <w:r>
        <w:rPr>
          <w:rFonts w:ascii="Times New Roman" w:hAnsi="Times New Roman" w:eastAsia="Times New Roman" w:cs="Times New Roman"/>
        </w:rPr>
        <w:t xml:space="preserve"> </w:t>
      </w:r>
      <w:r>
        <w:rPr>
          <w:rFonts w:ascii="Nirmala UI" w:hAnsi="Nirmala UI" w:eastAsia="Nirmala UI" w:cs="Nirmala UI"/>
        </w:rPr>
        <w:t>ꯈꯜꯂꯒ</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ꯑꯣꯏꯕ</w:t>
      </w:r>
      <w:r>
        <w:rPr>
          <w:rFonts w:ascii="Times New Roman" w:hAnsi="Times New Roman" w:eastAsia="Times New Roman" w:cs="Times New Roman"/>
        </w:rPr>
        <w:t xml:space="preserve"> </w:t>
      </w:r>
      <w:r>
        <w:rPr>
          <w:rFonts w:ascii="Nirmala UI" w:hAnsi="Nirmala UI" w:eastAsia="Nirmala UI" w:cs="Nirmala UI"/>
        </w:rPr>
        <w:t>ꯑꯥꯄꯝꯕꯁꯤꯡ</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ꯄꯨꯔꯛꯀꯅꯤ</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ꯀꯧꯔꯕ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ꯑꯃꯠꯇꯅ</w:t>
      </w:r>
      <w:r>
        <w:rPr>
          <w:rFonts w:ascii="Times New Roman" w:hAnsi="Times New Roman" w:eastAsia="Times New Roman" w:cs="Times New Roman"/>
        </w:rPr>
        <w:t xml:space="preserve"> </w:t>
      </w:r>
      <w:r>
        <w:rPr>
          <w:rFonts w:ascii="Nirmala UI" w:hAnsi="Nirmala UI" w:eastAsia="Nirmala UI" w:cs="Nirmala UI"/>
        </w:rPr>
        <w:t>ꯄꯥꯎꯈꯨꯝ</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ꯋꯥ</w:t>
      </w:r>
      <w:r>
        <w:rPr>
          <w:rFonts w:ascii="Times New Roman" w:hAnsi="Times New Roman" w:eastAsia="Times New Roman" w:cs="Times New Roman"/>
        </w:rPr>
        <w:t xml:space="preserve"> </w:t>
      </w:r>
      <w:r>
        <w:rPr>
          <w:rFonts w:ascii="Nirmala UI" w:hAnsi="Nirmala UI" w:eastAsia="Nirmala UI" w:cs="Nirmala UI"/>
        </w:rPr>
        <w:t>ꯍꯥꯏꯔꯕ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ꯂꯩꯇꯦ</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ꯑꯩꯒꯤ</w:t>
      </w:r>
      <w:r>
        <w:rPr>
          <w:rFonts w:ascii="Times New Roman" w:hAnsi="Times New Roman" w:eastAsia="Times New Roman" w:cs="Times New Roman"/>
        </w:rPr>
        <w:t xml:space="preserve"> </w:t>
      </w:r>
      <w:r>
        <w:rPr>
          <w:rFonts w:ascii="Nirmala UI" w:hAnsi="Nirmala UI" w:eastAsia="Nirmala UI" w:cs="Nirmala UI"/>
        </w:rPr>
        <w:t>ꯃꯤৎꯌꯦꯡꯒꯤ</w:t>
      </w:r>
      <w:r>
        <w:rPr>
          <w:rFonts w:ascii="Times New Roman" w:hAnsi="Times New Roman" w:eastAsia="Times New Roman" w:cs="Times New Roman"/>
        </w:rPr>
        <w:t xml:space="preserve"> </w:t>
      </w:r>
      <w:r>
        <w:rPr>
          <w:rFonts w:ascii="Nirmala UI" w:hAnsi="Nirmala UI" w:eastAsia="Nirmala UI" w:cs="Nirmala UI"/>
        </w:rPr>
        <w:t>ꯃꯃাংꯗ</w:t>
      </w:r>
      <w:r>
        <w:rPr>
          <w:rFonts w:ascii="Times New Roman" w:hAnsi="Times New Roman" w:eastAsia="Times New Roman" w:cs="Times New Roman"/>
        </w:rPr>
        <w:t xml:space="preserve"> </w:t>
      </w:r>
      <w:r>
        <w:rPr>
          <w:rFonts w:ascii="Nirmala UI" w:hAnsi="Nirmala UI" w:eastAsia="Nirmala UI" w:cs="Nirmala UI"/>
        </w:rPr>
        <w:t>ꯑꯐꯕꯅꯥ</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ꯅꯨꯡꯉꯥꯏꯗꯕ</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ꯈꯟꯂꯦ।</w:t>
      </w:r>
      <w:r>
        <w:rPr>
          <w:rFonts w:ascii="Times New Roman" w:hAnsi="Times New Roman" w:eastAsia="Times New Roman" w:cs="Times New Roman"/>
        </w:rPr>
        <w:t>’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ꯑꯁꯣꯏꯕ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ꯊꯥꯖꯕꯅ</w:t>
      </w:r>
      <w:r>
        <w:rPr>
          <w:rFonts w:ascii="Times New Roman" w:hAnsi="Times New Roman" w:eastAsia="Times New Roman" w:cs="Times New Roman"/>
        </w:rPr>
        <w:t xml:space="preserve"> </w:t>
      </w:r>
      <w:r>
        <w:rPr>
          <w:rFonts w:ascii="Nirmala UI" w:hAnsi="Nirmala UI" w:eastAsia="Nirmala UI" w:cs="Nirmala UI"/>
        </w:rPr>
        <w:t>ꯆꯪꯕ</w:t>
      </w:r>
      <w:r>
        <w:rPr>
          <w:rFonts w:ascii="Times New Roman" w:hAnsi="Times New Roman" w:eastAsia="Times New Roman" w:cs="Times New Roman"/>
        </w:rPr>
        <w:t xml:space="preserve"> </w:t>
      </w:r>
      <w:r>
        <w:rPr>
          <w:rFonts w:ascii="Nirmala UI" w:hAnsi="Nirmala UI" w:eastAsia="Nirmala UI" w:cs="Nirmala UI"/>
        </w:rPr>
        <w:t>ꯐꯪꯕꯗꯃꯛ</w:t>
      </w:r>
      <w:r>
        <w:rPr>
          <w:rFonts w:ascii="Times New Roman" w:hAnsi="Times New Roman" w:eastAsia="Times New Roman" w:cs="Times New Roman"/>
        </w:rPr>
        <w:t xml:space="preserve">, </w:t>
      </w:r>
      <w:r>
        <w:rPr>
          <w:rFonts w:ascii="Nirmala UI" w:hAnsi="Nirmala UI" w:eastAsia="Nirmala UI" w:cs="Nirmala UI"/>
        </w:rPr>
        <w:t>ꯏꯁ꯭ꯋꯔꯅ</w:t>
      </w:r>
      <w:r>
        <w:rPr>
          <w:rFonts w:ascii="Times New Roman" w:hAnsi="Times New Roman" w:eastAsia="Times New Roman" w:cs="Times New Roman"/>
        </w:rPr>
        <w:t xml:space="preserve"> </w:t>
      </w:r>
      <w:r>
        <w:rPr>
          <w:rFonts w:ascii="Nirmala UI" w:hAnsi="Nirmala UI" w:eastAsia="Nirmala UI" w:cs="Nirmala UI"/>
        </w:rPr>
        <w:t>ꯃꯈꯣꯏꯗ</w:t>
      </w:r>
      <w:r>
        <w:rPr>
          <w:rFonts w:ascii="Times New Roman" w:hAnsi="Times New Roman" w:eastAsia="Times New Roman" w:cs="Times New Roman"/>
        </w:rPr>
        <w:t xml:space="preserve"> </w:t>
      </w:r>
      <w:r>
        <w:rPr>
          <w:rFonts w:ascii="Nirmala UI" w:hAnsi="Nirmala UI" w:eastAsia="Nirmala UI" w:cs="Nirmala UI"/>
        </w:rPr>
        <w:t>ꯑꯪꯛꯄ</w:t>
      </w:r>
      <w:r>
        <w:rPr>
          <w:rFonts w:ascii="Times New Roman" w:hAnsi="Times New Roman" w:eastAsia="Times New Roman" w:cs="Times New Roman"/>
        </w:rPr>
        <w:t xml:space="preserve"> </w:t>
      </w:r>
      <w:r>
        <w:rPr>
          <w:rFonts w:ascii="Nirmala UI" w:hAnsi="Nirmala UI" w:eastAsia="Nirmala UI" w:cs="Nirmala UI"/>
        </w:rPr>
        <w:t>ꯃꯥꯜꯂꯤꯡ</w:t>
      </w:r>
      <w:r>
        <w:rPr>
          <w:rFonts w:ascii="Times New Roman" w:hAnsi="Times New Roman" w:eastAsia="Times New Roman" w:cs="Times New Roman"/>
        </w:rPr>
        <w:t xml:space="preserve"> </w:t>
      </w:r>
      <w:r>
        <w:rPr>
          <w:rFonts w:ascii="Nirmala UI" w:hAnsi="Nirmala UI" w:eastAsia="Nirmala UI" w:cs="Nirmala UI"/>
        </w:rPr>
        <w:t>ꯊꯥꯗꯣꯛꯀꯅꯤ</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ꯑꯁꯣꯏꯕꯗꯒ</w:t>
      </w:r>
      <w:r>
        <w:rPr>
          <w:rFonts w:ascii="Times New Roman" w:hAnsi="Times New Roman" w:eastAsia="Times New Roman" w:cs="Times New Roman"/>
        </w:rPr>
        <w:t xml:space="preserve"> </w:t>
      </w:r>
      <w:r>
        <w:rPr>
          <w:rFonts w:ascii="Nirmala UI" w:hAnsi="Nirmala UI" w:eastAsia="Nirmala UI" w:cs="Nirmala UI"/>
        </w:rPr>
        <w:t>ꯑꯗꯣꯝꯗ</w:t>
      </w:r>
      <w:r>
        <w:rPr>
          <w:rFonts w:ascii="Times New Roman" w:hAnsi="Times New Roman" w:eastAsia="Times New Roman" w:cs="Times New Roman"/>
        </w:rPr>
        <w:t xml:space="preserve"> </w:t>
      </w:r>
      <w:r>
        <w:rPr>
          <w:rFonts w:ascii="Nirmala UI" w:hAnsi="Nirmala UI" w:eastAsia="Nirmala UI" w:cs="Nirmala UI"/>
        </w:rPr>
        <w:t>ꯄꯨꯝꯅꯃꯛ</w:t>
      </w:r>
      <w:r>
        <w:rPr>
          <w:rFonts w:ascii="Times New Roman" w:hAnsi="Times New Roman" w:eastAsia="Times New Roman" w:cs="Times New Roman"/>
        </w:rPr>
        <w:t xml:space="preserve"> </w:t>
      </w:r>
      <w:r>
        <w:rPr>
          <w:rFonts w:ascii="Nirmala UI" w:hAnsi="Nirmala UI" w:eastAsia="Nirmala UI" w:cs="Nirmala UI"/>
        </w:rPr>
        <w:t>ꯀꯥꯅꯕꯒꯤꯗꯃꯛ</w:t>
      </w:r>
      <w:r>
        <w:rPr>
          <w:rFonts w:ascii="Times New Roman" w:hAnsi="Times New Roman" w:eastAsia="Times New Roman" w:cs="Times New Roman"/>
        </w:rPr>
        <w:t xml:space="preserve"> ‘</w:t>
      </w:r>
      <w:r>
        <w:rPr>
          <w:rFonts w:ascii="Nirmala UI" w:hAnsi="Nirmala UI" w:eastAsia="Nirmala UI" w:cs="Nirmala UI"/>
        </w:rPr>
        <w:t>ꯑꯆꯨꯝꯕꯒꯤ</w:t>
      </w:r>
      <w:r>
        <w:rPr>
          <w:rFonts w:ascii="Times New Roman" w:hAnsi="Times New Roman" w:eastAsia="Times New Roman" w:cs="Times New Roman"/>
        </w:rPr>
        <w:t xml:space="preserve"> </w:t>
      </w:r>
      <w:r>
        <w:rPr>
          <w:rFonts w:ascii="Nirmala UI" w:hAnsi="Nirmala UI" w:eastAsia="Nirmala UI" w:cs="Nirmala UI"/>
        </w:rPr>
        <w:t>ꯅꯨꯡꯉꯥꯏꯕ</w:t>
      </w:r>
      <w:r>
        <w:rPr>
          <w:rFonts w:ascii="Times New Roman" w:hAnsi="Times New Roman" w:eastAsia="Times New Roman" w:cs="Times New Roman"/>
        </w:rPr>
        <w:t xml:space="preserve"> </w:t>
      </w:r>
      <w:r>
        <w:rPr>
          <w:rFonts w:ascii="Nirmala UI" w:hAnsi="Nirmala UI" w:eastAsia="Nirmala UI" w:cs="Nirmala UI"/>
        </w:rPr>
        <w:t>ꯐꯪꯗꯦ</w:t>
      </w:r>
      <w:r>
        <w:rPr>
          <w:rFonts w:ascii="Times New Roman" w:hAnsi="Times New Roman" w:eastAsia="Times New Roman" w:cs="Times New Roman"/>
        </w:rPr>
        <w:t>,’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ꯑꯐꯕꯅꯥ</w:t>
      </w:r>
      <w:r>
        <w:rPr>
          <w:rFonts w:ascii="Times New Roman" w:hAnsi="Times New Roman" w:eastAsia="Times New Roman" w:cs="Times New Roman"/>
        </w:rPr>
        <w:t xml:space="preserve"> </w:t>
      </w:r>
      <w:r>
        <w:rPr>
          <w:rFonts w:ascii="Nirmala UI" w:hAnsi="Nirmala UI" w:eastAsia="Nirmala UI" w:cs="Nirmala UI"/>
        </w:rPr>
        <w:t>ꯑꯣꯏꯕꯗ</w:t>
      </w:r>
      <w:r>
        <w:rPr>
          <w:rFonts w:ascii="Times New Roman" w:hAnsi="Times New Roman" w:eastAsia="Times New Roman" w:cs="Times New Roman"/>
        </w:rPr>
        <w:t xml:space="preserve"> </w:t>
      </w:r>
      <w:r>
        <w:rPr>
          <w:rFonts w:ascii="Nirmala UI" w:hAnsi="Nirmala UI" w:eastAsia="Nirmala UI" w:cs="Nirmala UI"/>
        </w:rPr>
        <w:t>ꯅꯨꯡꯉꯥꯏꯔꯦ।</w:t>
      </w:r>
      <w:r>
        <w:rPr>
          <w:rFonts w:ascii="Times New Roman" w:hAnsi="Times New Roman" w:eastAsia="Times New Roman" w:cs="Times New Roman"/>
        </w:rPr>
        <w:t>’ Isaiah 66:3, 4; 2 Thessalonians 2:11, 10, 12.</w:t>
      </w:r>
    </w:p>
    <w:p>
      <w:pPr>
        <w:pStyle w:val="ArticleScripture"/>
        <w:jc w:val="left"/>
      </w:pPr>
      <w:r>
        <w:rPr>
          <w:rFonts w:ascii="Times New Roman" w:hAnsi="Times New Roman" w:eastAsia="Times New Roman" w:cs="Times New Roman"/>
        </w:rPr>
        <w:t>“Mfandzisi wa le tilweni a vutisa a ku: ‘I xihlawuhlawu xihi lexi nga ni matimba ngopfu xo kanganyisa miehleketo ku tlula ku tiendla onge mi aka ehenhla ka masungulo lamanene, naswona Xikwembu xa amukela mintirho ya n’wina, kasi entiyisweni mi tirha swilo swo tala hi ku landza maendlelo ya misava kutani mi dyohela Yehovha? Oho, i ku kanganyisa lokukulu, i xihlawuhlawu lexi kokaka, lexi tekaka miehleketo loko vanhu lava tshameke va tiva ntiyiso va hoxisa xivumbeko xa ku chava Xikwembu va xi teka tanihi moya ni matimba ya kona; loko va ehleketa leswaku va fumile, va andzisiwile hi swilo, naswona a va pfumali nchumu, kasi entiyisweni va pfumala hinkwaswo.’” Testimonies, volume 8, 249, 250.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Bilangan Lapan Puluh Lima</dc:title>
  <dc:subject>Membukakan Perjalanan Kenabian: Keterkaitan Ilahi Tonggak-Tonggak Sejarah</dc:subject>
  <dc:creator>Jeff Pippenger</dc:creator>
  <cp:keywords/>
  <dc:description>Generated by ArticleDigger from daniel\85_daniel.json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