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ni Daniel - Nombo Nombu Duwalu Duwa</w:t>
      </w:r>
    </w:p>
    <w:p>
      <w:pPr>
        <w:pStyle w:val="ArticleSubtitle"/>
        <w:jc w:val="left"/>
      </w:pPr>
      <w:r>
        <w:rPr>
          <w:rFonts w:ascii="Arial" w:hAnsi="Arial" w:eastAsia="Arial" w:cs="Arial"/>
        </w:rPr>
        <w:t>Menyingkapkan Nubuatan: Penerapan Tiga Lapis atas Enam Ayat Terakhir Kitab Daniel dan Terang yang Makin Bertambah dari Malaikat Ketiga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Nirmala UI" w:hAnsi="Nirmala UI" w:eastAsia="Nirmala UI" w:cs="Nirmala UI"/>
        </w:rPr>
        <w:t>ꯃꯤꯂꯔꯥꯏꯠ</w:t>
      </w:r>
      <w:r>
        <w:rPr>
          <w:rFonts w:ascii="Times New Roman" w:hAnsi="Times New Roman" w:eastAsia="Times New Roman" w:cs="Times New Roman"/>
        </w:rPr>
        <w:t xml:space="preserve"> </w:t>
      </w:r>
      <w:r>
        <w:rPr>
          <w:rFonts w:ascii="Nirmala UI" w:hAnsi="Nirmala UI" w:eastAsia="Nirmala UI" w:cs="Nirmala UI"/>
        </w:rPr>
        <w:t>ꯃꯨꯕꯃꯦꯟꯠꯇꯗ</w:t>
      </w:r>
      <w:r>
        <w:rPr>
          <w:rFonts w:ascii="Times New Roman" w:hAnsi="Times New Roman" w:eastAsia="Times New Roman" w:cs="Times New Roman"/>
        </w:rPr>
        <w:t xml:space="preserve">, </w:t>
      </w:r>
      <w:r>
        <w:rPr>
          <w:rFonts w:ascii="Nirmala UI" w:hAnsi="Nirmala UI" w:eastAsia="Nirmala UI" w:cs="Nirmala UI"/>
        </w:rPr>
        <w:t>ꯈꯪꯕꯒꯤ</w:t>
      </w:r>
      <w:r>
        <w:rPr>
          <w:rFonts w:ascii="Times New Roman" w:hAnsi="Times New Roman" w:eastAsia="Times New Roman" w:cs="Times New Roman"/>
        </w:rPr>
        <w:t xml:space="preserve"> </w:t>
      </w:r>
      <w:r>
        <w:rPr>
          <w:rFonts w:ascii="Nirmala UI" w:hAnsi="Nirmala UI" w:eastAsia="Nirmala UI" w:cs="Nirmala UI"/>
        </w:rPr>
        <w:t>ꯃꯍꯨꯠ</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ꯂꯧꯊꯣꯛꯈ꯭ꯔꯦ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ꯉꯝꯗꯅ</w:t>
      </w:r>
      <w:r>
        <w:rPr>
          <w:rFonts w:ascii="Times New Roman" w:hAnsi="Times New Roman" w:eastAsia="Times New Roman" w:cs="Times New Roman"/>
        </w:rPr>
        <w:t xml:space="preserve">, </w:t>
      </w:r>
      <w:r>
        <w:rPr>
          <w:rFonts w:ascii="Nirmala UI" w:hAnsi="Nirmala UI" w:eastAsia="Nirmala UI" w:cs="Nirmala UI"/>
        </w:rPr>
        <w:t>ꯌꯨꯅꯥꯏꯇꯦꯠ</w:t>
      </w:r>
      <w:r>
        <w:rPr>
          <w:rFonts w:ascii="Times New Roman" w:hAnsi="Times New Roman" w:eastAsia="Times New Roman" w:cs="Times New Roman"/>
        </w:rPr>
        <w:t xml:space="preserve"> </w:t>
      </w:r>
      <w:r>
        <w:rPr>
          <w:rFonts w:ascii="Nirmala UI" w:hAnsi="Nirmala UI" w:eastAsia="Nirmala UI" w:cs="Nirmala UI"/>
        </w:rPr>
        <w:t>ꯏꯁ꯭ꯇꯦꯠꯁꯀꯤ</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ꯄ꯭ꯔꯣꯇꯦꯁꯇꯦꯟꯇꯁꯤꯡꯗ</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ꯆꯥꯡꯌꯦꯛꯈꯤ꯫</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ꯁꯨꯄ꯭ꯔꯦꯃꯁꯤꯒꯤ</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ꯊꯣꯛꯂꯛꯄ</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ꯁꯥꯔꯗꯤꯁꯇꯨ</w:t>
      </w:r>
      <w:r>
        <w:rPr>
          <w:rFonts w:ascii="Times New Roman" w:hAnsi="Times New Roman" w:eastAsia="Times New Roman" w:cs="Times New Roman"/>
        </w:rPr>
        <w:t xml:space="preserve">, </w:t>
      </w:r>
      <w:r>
        <w:rPr>
          <w:rFonts w:ascii="Nirmala UI" w:hAnsi="Nirmala UI" w:eastAsia="Nirmala UI" w:cs="Nirmala UI"/>
        </w:rPr>
        <w:t>ꯁ꯭ꯋꯔꯒꯗ</w:t>
      </w:r>
      <w:r>
        <w:rPr>
          <w:rFonts w:ascii="Times New Roman" w:hAnsi="Times New Roman" w:eastAsia="Times New Roman" w:cs="Times New Roman"/>
        </w:rPr>
        <w:t xml:space="preserve"> </w:t>
      </w:r>
      <w:r>
        <w:rPr>
          <w:rFonts w:ascii="Nirmala UI" w:hAnsi="Nirmala UI" w:eastAsia="Nirmala UI" w:cs="Nirmala UI"/>
        </w:rPr>
        <w:t>ꯍꯦꯚꯟꯂꯤ</w:t>
      </w:r>
      <w:r>
        <w:rPr>
          <w:rFonts w:ascii="Times New Roman" w:hAnsi="Times New Roman" w:eastAsia="Times New Roman" w:cs="Times New Roman"/>
        </w:rPr>
        <w:t xml:space="preserve"> </w:t>
      </w:r>
      <w:r>
        <w:rPr>
          <w:rFonts w:ascii="Nirmala UI" w:hAnsi="Nirmala UI" w:eastAsia="Nirmala UI" w:cs="Nirmala UI"/>
        </w:rPr>
        <w:t>ꯁꯥꯟꯛꯇꯨꯋꯦꯔꯤ</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ꯐꯣꯡꯗꯣꯛꯀꯅꯤꯡꯕ</w:t>
      </w:r>
      <w:r>
        <w:rPr>
          <w:rFonts w:ascii="Times New Roman" w:hAnsi="Times New Roman" w:eastAsia="Times New Roman" w:cs="Times New Roman"/>
        </w:rPr>
        <w:t xml:space="preserve"> </w:t>
      </w:r>
      <w:r>
        <w:rPr>
          <w:rFonts w:ascii="Nirmala UI" w:hAnsi="Nirmala UI" w:eastAsia="Nirmala UI" w:cs="Nirmala UI"/>
        </w:rPr>
        <w:t>ꯒꯣꯁꯄꯦꯜꯒꯤ</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ꯃꯥꯡꯍꯟꯕ</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ꯆꯤꯡꯂꯛꯄ</w:t>
      </w:r>
      <w:r>
        <w:rPr>
          <w:rFonts w:ascii="Times New Roman" w:hAnsi="Times New Roman" w:eastAsia="Times New Roman" w:cs="Times New Roman"/>
        </w:rPr>
        <w:t xml:space="preserve"> </w:t>
      </w:r>
      <w:r>
        <w:rPr>
          <w:rFonts w:ascii="Nirmala UI" w:hAnsi="Nirmala UI" w:eastAsia="Nirmala UI" w:cs="Nirmala UI"/>
        </w:rPr>
        <w:t>ꯂꯩꯔꯝꯃꯤ꯫</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ꯃꯨꯕꯃꯦꯟꯠꯇ</w:t>
      </w:r>
      <w:r>
        <w:rPr>
          <w:rFonts w:ascii="Times New Roman" w:hAnsi="Times New Roman" w:eastAsia="Times New Roman" w:cs="Times New Roman"/>
        </w:rPr>
        <w:t xml:space="preserve">, </w:t>
      </w:r>
      <w:r>
        <w:rPr>
          <w:rFonts w:ascii="Nirmala UI" w:hAnsi="Nirmala UI" w:eastAsia="Nirmala UI" w:cs="Nirmala UI"/>
        </w:rPr>
        <w:t>ꯈꯪꯕꯒꯤ</w:t>
      </w:r>
      <w:r>
        <w:rPr>
          <w:rFonts w:ascii="Times New Roman" w:hAnsi="Times New Roman" w:eastAsia="Times New Roman" w:cs="Times New Roman"/>
        </w:rPr>
        <w:t xml:space="preserve"> </w:t>
      </w:r>
      <w:r>
        <w:rPr>
          <w:rFonts w:ascii="Nirmala UI" w:hAnsi="Nirmala UI" w:eastAsia="Nirmala UI" w:cs="Nirmala UI"/>
        </w:rPr>
        <w:t>ꯃꯍꯨꯠ</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2001 </w:t>
      </w:r>
      <w:r>
        <w:rPr>
          <w:rFonts w:ascii="Nirmala UI" w:hAnsi="Nirmala UI" w:eastAsia="Nirmala UI" w:cs="Nirmala UI"/>
        </w:rPr>
        <w:t>ꯆꯍꯤꯒꯤ</w:t>
      </w:r>
      <w:r>
        <w:rPr>
          <w:rFonts w:ascii="Times New Roman" w:hAnsi="Times New Roman" w:eastAsia="Times New Roman" w:cs="Times New Roman"/>
        </w:rPr>
        <w:t xml:space="preserve"> </w:t>
      </w:r>
      <w:r>
        <w:rPr>
          <w:rFonts w:ascii="Nirmala UI" w:hAnsi="Nirmala UI" w:eastAsia="Nirmala UI" w:cs="Nirmala UI"/>
        </w:rPr>
        <w:t>ꯁꯦꯞꯇꯦꯝꯕꯔ</w:t>
      </w:r>
      <w:r>
        <w:rPr>
          <w:rFonts w:ascii="Times New Roman" w:hAnsi="Times New Roman" w:eastAsia="Times New Roman" w:cs="Times New Roman"/>
        </w:rPr>
        <w:t xml:space="preserve"> 11</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ꯂꯧꯊꯣꯛꯈ꯭ꯔꯦ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ꯑꯄꯥꯝꯕꯗ</w:t>
      </w:r>
      <w:r>
        <w:rPr>
          <w:rFonts w:ascii="Times New Roman" w:hAnsi="Times New Roman" w:eastAsia="Times New Roman" w:cs="Times New Roman"/>
        </w:rPr>
        <w:t xml:space="preserve"> </w:t>
      </w:r>
      <w:r>
        <w:rPr>
          <w:rFonts w:ascii="Nirmala UI" w:hAnsi="Nirmala UI" w:eastAsia="Nirmala UI" w:cs="Nirmala UI"/>
        </w:rPr>
        <w:t>ꯂꯥꯑꯣꯗꯤꯁꯤꯌꯟ</w:t>
      </w:r>
      <w:r>
        <w:rPr>
          <w:rFonts w:ascii="Times New Roman" w:hAnsi="Times New Roman" w:eastAsia="Times New Roman" w:cs="Times New Roman"/>
        </w:rPr>
        <w:t xml:space="preserve"> </w:t>
      </w:r>
      <w:r>
        <w:rPr>
          <w:rFonts w:ascii="Nirmala UI" w:hAnsi="Nirmala UI" w:eastAsia="Nirmala UI" w:cs="Nirmala UI"/>
        </w:rPr>
        <w:t>ꯑꯦꯗꯕꯦꯟꯇꯤꯁꯝꯗ</w:t>
      </w:r>
      <w:r>
        <w:rPr>
          <w:rFonts w:ascii="Times New Roman" w:hAnsi="Times New Roman" w:eastAsia="Times New Roman" w:cs="Times New Roman"/>
        </w:rPr>
        <w:t xml:space="preserve"> </w:t>
      </w:r>
      <w:r>
        <w:rPr>
          <w:rFonts w:ascii="Nirmala UI" w:hAnsi="Nirmala UI" w:eastAsia="Nirmala UI" w:cs="Nirmala UI"/>
        </w:rPr>
        <w:t>ꯆꯥꯡꯌꯦꯛꯈꯤ꯫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ꯈꯪꯕꯒꯤ</w:t>
      </w:r>
      <w:r>
        <w:rPr>
          <w:rFonts w:ascii="Times New Roman" w:hAnsi="Times New Roman" w:eastAsia="Times New Roman" w:cs="Times New Roman"/>
        </w:rPr>
        <w:t xml:space="preserve"> </w:t>
      </w:r>
      <w:r>
        <w:rPr>
          <w:rFonts w:ascii="Nirmala UI" w:hAnsi="Nirmala UI" w:eastAsia="Nirmala UI" w:cs="Nirmala UI"/>
        </w:rPr>
        <w:t>ꯃꯍꯨꯠꯀꯤ</w:t>
      </w:r>
      <w:r>
        <w:rPr>
          <w:rFonts w:ascii="Times New Roman" w:hAnsi="Times New Roman" w:eastAsia="Times New Roman" w:cs="Times New Roman"/>
        </w:rPr>
        <w:t xml:space="preserve"> </w:t>
      </w:r>
      <w:r>
        <w:rPr>
          <w:rFonts w:ascii="Nirmala UI" w:hAnsi="Nirmala UI" w:eastAsia="Nirmala UI" w:cs="Nirmala UI"/>
        </w:rPr>
        <w:t>ꯈꯨꯖꯤꯀ</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ꯗꯥꯅꯤꯑꯦꯜ</w:t>
      </w:r>
      <w:r>
        <w:rPr>
          <w:rFonts w:ascii="Times New Roman" w:hAnsi="Times New Roman" w:eastAsia="Times New Roman" w:cs="Times New Roman"/>
        </w:rPr>
        <w:t xml:space="preserve"> 11</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ꯇꯔꯨꯛꯇ</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ꯁꯇ꯭ꯌ</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ꯂꯥꯑꯣꯗꯤꯁꯤꯌꯟ</w:t>
      </w:r>
      <w:r>
        <w:rPr>
          <w:rFonts w:ascii="Times New Roman" w:hAnsi="Times New Roman" w:eastAsia="Times New Roman" w:cs="Times New Roman"/>
        </w:rPr>
        <w:t xml:space="preserve"> </w:t>
      </w:r>
      <w:r>
        <w:rPr>
          <w:rFonts w:ascii="Nirmala UI" w:hAnsi="Nirmala UI" w:eastAsia="Nirmala UI" w:cs="Nirmala UI"/>
        </w:rPr>
        <w:t>ꯑꯦꯗꯕꯦꯟꯇꯤꯁꯝꯅ</w:t>
      </w:r>
      <w:r>
        <w:rPr>
          <w:rFonts w:ascii="Times New Roman" w:hAnsi="Times New Roman" w:eastAsia="Times New Roman" w:cs="Times New Roman"/>
        </w:rPr>
        <w:t xml:space="preserve"> </w:t>
      </w:r>
      <w:r>
        <w:rPr>
          <w:rFonts w:ascii="Nirmala UI" w:hAnsi="Nirmala UI" w:eastAsia="Nirmala UI" w:cs="Nirmala UI"/>
        </w:rPr>
        <w:t>ꯌꯥꯛꯈꯤ꯫</w:t>
      </w:r>
    </w:p>
    <w:p>
      <w:pPr>
        <w:pStyle w:val="ArticleScripture"/>
        <w:jc w:val="left"/>
      </w:pPr>
      <w:r>
        <w:rPr>
          <w:rFonts w:ascii="Times New Roman" w:hAnsi="Times New Roman" w:eastAsia="Times New Roman" w:cs="Times New Roman"/>
        </w:rPr>
        <w:t>“Bangakhi abathembekileyo abakha phezu kwesiseko esiyinyaniso (1 Korinte 3:10, 11) babedidekile yaye bethintelwa njengoko inkunkuma yemfundiso yobuxoki yayithintela umsebenzi. Njengabakhi ababephezu kodonga lwaseYerusalem ngemihla kaNehemiya, abanye babelungele ukuthi: ‘Amandla abathwali bemithwalo aphelile, yaye inkunkuma ininzi; ngoko ke asinako ukwakha.’ Nehemiya 4:10. Bekhathele ngumzabalazo ongapheliyo wokulwa nentshutshiso, ubuqhetseba, ubugwenxa, nazo zonke ezinye izithintelo uSathana awayenokuzicingela ukuze athintele inkqubela yabo, abanye ababengabakhi abathembekileyo badimazeka; baza, ngenxa yoxolo nokhuseleko lwezinto zabo nobomi babo, bajika bemka kwisiseko esiyinyaniso. Abanye ke, bengoyikiswa kukuchaswa ziintshaba zabo, bavakalisa ngesibindi besithi: ‘Musani ukuboyika; khumbulani iNkosi, enkulu neyoyikekayo’ (ivesi 14); baza baqhubeka nomsebenzi, elowo ebophelele ikrele lakhe ecaleni kwakhe. Efese 6:17.”</w:t>
      </w:r>
    </w:p>
    <w:p>
      <w:pPr>
        <w:pStyle w:val="ArticleScripture"/>
        <w:jc w:val="left"/>
      </w:pPr>
      <w:r>
        <w:rPr>
          <w:rFonts w:ascii="Times New Roman" w:hAnsi="Times New Roman" w:eastAsia="Times New Roman" w:cs="Times New Roman"/>
        </w:rPr>
        <w:t>“Semangat kebencian dan penentangan terhadap kebenaran yang sama telah mengilhami musuh-musuh Allah pada setiap zaman, dan kewaspadaan serta kesetiaan yang sama telah dituntut daripada hamba-hamba-Nya. Kata-kata Kristus kepada murid-murid yang pertama berlaku juga kepada para pengikut-Nya hingga ke akhir zaman: ‘Apa yang Kukatakan kepadamu, Kukatakan kepada semua orang, berjaga-jagalah.’ Markus 13:37.” The Great Controversy, 56.</w:t>
      </w:r>
    </w:p>
    <w:p>
      <w:pPr>
        <w:pStyle w:val="ArticleBody"/>
        <w:jc w:val="left"/>
      </w:pPr>
      <w:r>
        <w:rPr>
          <w:rFonts w:ascii="Times New Roman" w:hAnsi="Times New Roman" w:eastAsia="Times New Roman" w:cs="Times New Roman"/>
        </w:rPr>
        <w:t>Mesej yang dipersembahkan dalam enam ayat terakhir kitab Daniel mula diketengahkan dalam lingkungan pelayanan-pelayanan sara diri Adventisme Laodikia, dan sesudah itu, seiring dengan berlalunya waktu, ia berhadapan dengan para teolog terkenal (golongan terpelajar) Adventisme Laodikia. Senjata-senjata yang digunakan dalam usaha untuk mencemarkan nama baik mesej itu, tanpa kecuali, menghasilkan terang dan kejelasan yang lebih besar terhadap ayat-ayat yang sedang diperiksa dan diserang. Serangan-serangan itu akhirnya membawa kepada pemahaman-pemahaman nubuatan yang sebelumnya tidak dikenal pasti, tetapi kemudian ditegakkan dan didapati sebagai sebahagian daripada terang yang makin bertambah dari malaikat yang ketiga.</w:t>
      </w:r>
    </w:p>
    <w:p>
      <w:pPr>
        <w:pStyle w:val="ArticleBody"/>
        <w:jc w:val="left"/>
      </w:pPr>
      <w:r>
        <w:rPr>
          <w:rFonts w:ascii="Times New Roman" w:hAnsi="Times New Roman" w:eastAsia="Times New Roman" w:cs="Times New Roman"/>
        </w:rPr>
        <w:t>Ba-Millerite ba ile ba lemoga mebušo e mene feela ya boporofeta bja Beibele, eupša kgauswinyane ka morago ga 1844, go ile gwa kwešišwa gore United States e be e le sebata sa naga sa Kutollo lesome le metšo e meraro, gomme kwešišo yeo ya hlakisa gore bopapa e be e se feela karolo ya mmušo wa Roma, eupša ge e le gabotse e be e le mmušo wa bohlano wa boporofeta bja Beibele.</w:t>
      </w:r>
    </w:p>
    <w:p>
      <w:pPr>
        <w:pStyle w:val="ArticleScripture"/>
        <w:jc w:val="left"/>
      </w:pPr>
      <w:r>
        <w:rPr>
          <w:rFonts w:ascii="Times New Roman" w:hAnsi="Times New Roman" w:eastAsia="Times New Roman" w:cs="Times New Roman"/>
        </w:rPr>
        <w:t>“Mu mawonetsero a chinjoka chachikulu chofiira, chirombo chofanana ndi nyalugwe, ndi chirombo chokhala ndi nyanga zonga za mwanawankhosa, maboma a padziko lapansi amene akanakhala makamaka otanganidwa ndi kupondereza lamulo la Mulungu ndi kuzunza anthu Ake, anaonetsedwa kwa Yohane. Nkhondoyi ikupitirirabe kufikira kumapeto kwa nthawi. Anthu a Mulungu, oimiridwa ndi mkazi wopatulika ndi ana ake, anasonyezedwa kuti anali ochepa kwambiri. M’masiku otsiriza kunangokhalapo otsalira okha. Za amenewa Yohane akunena kuti, ‘amene amasunga malamulo a Mulungu, n’kukhala nawo umboni wa Yesu Khristu.’”</w:t>
      </w:r>
    </w:p>
    <w:p>
      <w:pPr>
        <w:pStyle w:val="ArticleScripture"/>
        <w:jc w:val="left"/>
      </w:pPr>
      <w:r>
        <w:rPr>
          <w:rFonts w:ascii="Times New Roman" w:hAnsi="Times New Roman" w:eastAsia="Times New Roman" w:cs="Times New Roman"/>
        </w:rPr>
        <w:t>“Ngebag, lalu nenggak Kepausan, Satan ngelaksanayang kuasa-ne salami pirang-pirang abad ring usaha ngehapus sakadi tan wenten saking jagat puniki para saksi Ida Sang Hyang Widi sane satya. Kaum pagan miwah kaum papis sami kawehan antuk roh naga sane sami. Bedané kantun punika, yening Kepausan, ngelah pura-pura ngawula ring Ida Sang Hyang Widi, dados musuh sane langkung ngawinang baya tur langkung kejem. Ngalanturang jalan Romanisme, Satan nyekel jagat dados tawanan. Gereja Ida Sang Hyang Widi sane ngakuningin diri kaserod nyarengin barisan panyasatan puniki, tur salami langkung saking sewu warsa umat Ida Sang Hyang Widi nandang sangsara antuk murka naga. Tur rikala Kepausan, sasampun kakutang kekuatan-ne, kapaksa ngetepang penganiayaan, Yohanes nyaksiang sawijining kuasa anyar medal, mangda ngemaang suara naga, tur nerasang karya sane sami kejem tur nglawan suci. Kuasa puniki, sane dados pamungkas perang ngelawan gereja miwah hukum Ida Sang Hyang Widi, kasimbolayang antuk sawijining binatang sane ngelah tanduk sakadi anak domba.”</w:t>
      </w:r>
    </w:p>
    <w:p>
      <w:pPr>
        <w:pStyle w:val="ArticleScripture"/>
        <w:jc w:val="left"/>
      </w:pPr>
      <w:r>
        <w:rPr>
          <w:rFonts w:ascii="Times New Roman" w:hAnsi="Times New Roman" w:eastAsia="Times New Roman" w:cs="Times New Roman"/>
        </w:rPr>
        <w:t>“Namun goresan tegas pena kenabian menyingkapkan suatu perubahan dalam pemandangan yang damai ini. Binatang yang bertanduk seperti anak domba itu berbicara dengan suara seekor naga, dan ‘menjalankan segala kuasa binatang yang pertama di hadapannya.’ Nubuatan menyatakan bahwa ia akan mengatakan kepada mereka yang diam di bumi supaya mereka membuat suatu patung bagi binatang itu, dan bahwa ‘ia menyebabkan semua orang, baik kecil maupun besar, kaya maupun miskin, merdeka maupun hamba, menerima suatu tanda pada tangan kanan mereka atau pada dahi mereka; dan supaya tidak seorang pun dapat membeli atau menjual, selain dia yang mempunyai tanda itu, atau nama binatang itu, atau bilangan namanya.’ Dengan demikian Protestanisme mengikuti jejak Kepausan.” Signs of the Times, 1 November 1899.</w:t>
      </w:r>
    </w:p>
    <w:p>
      <w:pPr>
        <w:pStyle w:val="ArticleBody"/>
        <w:jc w:val="left"/>
      </w:pPr>
      <w:r>
        <w:rPr>
          <w:rFonts w:ascii="Times New Roman" w:hAnsi="Times New Roman" w:eastAsia="Times New Roman" w:cs="Times New Roman"/>
        </w:rPr>
        <w:t>Bila enam ayat terakhir Daniel sebelas dibukakan meterainya, disadari bahwa seluruh rangkaian yang digambarkan dalam keenam ayat itu sedang menyinggung interaksi dari ketiga kuasa yang baru saja diidentifikasi Sister White sebagai “paganisme,” “Kepausan,” dan “Protestantisme.” Musuh berpendapat bahwa “negeri yang permai” dalam ayat empat puluh satu adalah lambang dari Protestanisme atau Gereja Masehi Advent Hari Ketujuh, tetapi “negeri yang permai” itu adalah Amerika Serikat, dan dalam ayat empat puluh satu raja dari utara (Kepausan) menaklukkan Amerika Serikat pada undang-undang hari Minggu yang segera akan datang. Kekeliruan setanis yang mengidentifikasi “negeri yang permai” sebagai apa pun selain Amerika Serikat dirancang untuk mencegah laki-laki dan perempuan mengenali bahwa peristiwa nubuatan berikutnya sesudah runtuhnya Uni Soviet pada tahun 1989, dalam periode yang dilambangkan dalam enam ayat terakhir Daniel sebelas, adalah undang-undang hari Minggu yang segera akan datang.</w:t>
      </w:r>
    </w:p>
    <w:p>
      <w:pPr>
        <w:pStyle w:val="ArticleBody"/>
        <w:jc w:val="left"/>
      </w:pPr>
      <w:r>
        <w:rPr>
          <w:rFonts w:ascii="Times New Roman" w:hAnsi="Times New Roman" w:eastAsia="Times New Roman" w:cs="Times New Roman"/>
        </w:rPr>
        <w:t>Kwa Waadventista Wasabato, hili linamaanisha kwamba aya ya arobaini na moja inatambulisha kufungwa kwa muda wa rehema kwa kanisa la Mungu, na jambo la mwisho ambalo Uadventista wa Laodikia unataka kusikia ni kwamba muda wao wa rehema unakaribia kwisha! Bwana aliongoza hoja hadi kufikia hatua ambapo ilitambuliwa kwamba, Roma ya kipagani ilipochukua usimamizi wa ulimwengu katika Vita vya Actium mwaka 31 KK, ilipaswa kwanza kushinda mamlaka tatu za kijiografia kama zinavyowakilishwa katika Danieli sura ya nane.</w:t>
      </w:r>
    </w:p>
    <w:p>
      <w:pPr>
        <w:pStyle w:val="ArticleScripture"/>
        <w:jc w:val="left"/>
      </w:pPr>
      <w:r>
        <w:rPr>
          <w:rFonts w:ascii="Times New Roman" w:hAnsi="Times New Roman" w:eastAsia="Times New Roman" w:cs="Times New Roman"/>
        </w:rPr>
        <w:t>Ku’ndzikuza kwina mwa iyo kunatuluka nyanga yaying’ono, imene inakula kwambiri ndithu, kulunjika kumwera, ndi kummawa, ndi ku dziko lokongola. Danieli 8:9.</w:t>
      </w:r>
    </w:p>
    <w:p>
      <w:pPr>
        <w:pStyle w:val="ArticleBody"/>
        <w:jc w:val="left"/>
      </w:pPr>
      <w:r>
        <w:rPr>
          <w:rFonts w:ascii="Times New Roman" w:hAnsi="Times New Roman" w:eastAsia="Times New Roman" w:cs="Times New Roman"/>
        </w:rPr>
        <w:t>E ne e le taba e tiisitsoeng hore “borwa”, “bochabela” le “naha e khahlisang” li ne li emela libaka tse tharo tsa jeokrafi tseo Roma ea bohetene e ileng ea li nka tlas’a taolo ea eona, ha e ntse e nyolohela teroneng ea lefatše e le ’muso oa bone oa boprofeta ba Bibele. Ho ne ho tsamaisana le taba ena hore Roma ea bopapa le eona e ne e lokela ho hlōla matla a mararo a jeokrafi, ha e ntse e nyolohela teroneng ea lefatše e le ’muso oa bohlano oa boprofeta ba Bibele, joalokaha ho emetsoe ho Daniele khaolo ea bosupa.</w:t>
      </w:r>
    </w:p>
    <w:p>
      <w:pPr>
        <w:pStyle w:val="ArticleScripture"/>
        <w:jc w:val="left"/>
      </w:pPr>
      <w:r>
        <w:rPr>
          <w:rFonts w:ascii="Times New Roman" w:hAnsi="Times New Roman" w:eastAsia="Times New Roman" w:cs="Times New Roman"/>
        </w:rPr>
        <w:t>Ndzi anakanyisise timhondzo, kutani waswivo, exikarhi ka tona ku humelela rin’wana rhondzo leyitsongo, emahlweni ka rona ku kukuriwa timhondzo tinharhu ta leto sungula hi mitsu: kutani waswivo, eka rhondzo leri a ku ri ni mahlo lama fanaka ni mahlo ya munhu, ni nomu lowu vulavulaka swilo leswikulu. Daniel 7:8.</w:t>
      </w:r>
    </w:p>
    <w:p>
      <w:pPr>
        <w:pStyle w:val="ArticleBody"/>
        <w:jc w:val="left"/>
      </w:pPr>
      <w:r>
        <w:rPr>
          <w:rFonts w:ascii="Times New Roman" w:hAnsi="Times New Roman" w:eastAsia="Times New Roman" w:cs="Times New Roman"/>
        </w:rPr>
        <w:t>Mo ngangania koor *“glorious land”* m̄bot verse forty-one, Jeova etingkijej bwe ejjela ke elon jilu tōprak in Rome ilo prophecy. Rome eo an pagan, eo ej etal lok im Rome eo an papal, im ñan am jinoj bar juon Rome an raan ko remoj, eo kobaik in kōllā *“modern Rome”*. Ekkar ñan ruo kein karōk im emman im emōj an bōk jikin ilo prophecy, eo kein kein jino ej bwe Ejad eo emaron jab bar oktak, im bar juon bwe truth ej paddik im etabliś ko jen testimony an ruo witness, kim naj loe ilo an jab walok wōt juon kapeel bwe jilu obstacle ko ñan king in the north ilo jiluan ijo kein imōjjoḷok ilo Daniel chapter eleven renaj aikuj in kōmmane jilu modern geographical powers.</w:t>
      </w:r>
    </w:p>
    <w:p>
      <w:pPr>
        <w:pStyle w:val="ArticleScripture"/>
        <w:jc w:val="left"/>
      </w:pPr>
      <w:r>
        <w:rPr>
          <w:rFonts w:ascii="Times New Roman" w:hAnsi="Times New Roman" w:eastAsia="Times New Roman" w:cs="Times New Roman"/>
        </w:rPr>
        <w:t>Isu Krista semalam, hari ini, dan untuk selama-lamanya tetap sama. Ibrani 13:8.</w:t>
      </w:r>
    </w:p>
    <w:p>
      <w:pPr>
        <w:pStyle w:val="ArticleScripture"/>
        <w:jc w:val="left"/>
      </w:pP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သင်တို့၏ပညတ်တရား၌လည်း</w:t>
      </w:r>
      <w:r>
        <w:rPr>
          <w:rFonts w:ascii="Times New Roman" w:hAnsi="Times New Roman" w:eastAsia="Times New Roman" w:cs="Times New Roman"/>
        </w:rPr>
        <w:t xml:space="preserve"> </w:t>
      </w:r>
      <w:r>
        <w:rPr>
          <w:rFonts w:ascii="Myanmar Text" w:hAnsi="Myanmar Text" w:eastAsia="Myanmar Text" w:cs="Myanmar Text"/>
        </w:rPr>
        <w:t>ရေးထားသည်မှာ၊</w:t>
      </w:r>
      <w:r>
        <w:rPr>
          <w:rFonts w:ascii="Times New Roman" w:hAnsi="Times New Roman" w:eastAsia="Times New Roman" w:cs="Times New Roman"/>
        </w:rPr>
        <w:t xml:space="preserve"> </w:t>
      </w:r>
      <w:r>
        <w:rPr>
          <w:rFonts w:ascii="Myanmar Text" w:hAnsi="Myanmar Text" w:eastAsia="Myanmar Text" w:cs="Myanmar Text"/>
        </w:rPr>
        <w:t>လူနှစ်ယောက်၏သက်သေခံချက်သည်</w:t>
      </w:r>
      <w:r>
        <w:rPr>
          <w:rFonts w:ascii="Times New Roman" w:hAnsi="Times New Roman" w:eastAsia="Times New Roman" w:cs="Times New Roman"/>
        </w:rPr>
        <w:t xml:space="preserve"> </w:t>
      </w:r>
      <w:r>
        <w:rPr>
          <w:rFonts w:ascii="Myanmar Text" w:hAnsi="Myanmar Text" w:eastAsia="Myanmar Text" w:cs="Myanmar Text"/>
        </w:rPr>
        <w:t>မှန်ကန်၏။</w:t>
      </w:r>
      <w:r>
        <w:rPr>
          <w:rFonts w:ascii="Times New Roman" w:hAnsi="Times New Roman" w:eastAsia="Times New Roman" w:cs="Times New Roman"/>
        </w:rPr>
        <w:t xml:space="preserve"> </w:t>
      </w:r>
      <w:r>
        <w:rPr>
          <w:rFonts w:ascii="Myanmar Text" w:hAnsi="Myanmar Text" w:eastAsia="Myanmar Text" w:cs="Myanmar Text"/>
        </w:rPr>
        <w:t>ယောဟန်</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w:t>
      </w:r>
      <w:r>
        <w:rPr>
          <w:rFonts w:ascii="Myanmar Text" w:hAnsi="Myanmar Text" w:eastAsia="Myanmar Text" w:cs="Myanmar Text"/>
        </w:rPr>
        <w:t>၁၇။</w:t>
      </w:r>
    </w:p>
    <w:p>
      <w:pPr>
        <w:pStyle w:val="ArticleBody"/>
        <w:jc w:val="left"/>
      </w:pPr>
      <w:r>
        <w:rPr>
          <w:rFonts w:ascii="Times New Roman" w:hAnsi="Times New Roman" w:eastAsia="Times New Roman" w:cs="Times New Roman"/>
        </w:rPr>
        <w:t>Keng khuh hriatna cun kanmah nih kan ruatmi hmasa cu a fehter, ziangahtile kan nih cun “ram ropit” cu ram lei thuneihna pakhat vekin (United States) kan theih ringring ih, thlarau lam thuneihna si mi kawhhran a si timi ruahnak ngawl cu kan hnong ih. Himi dinhmun hi kan din, kumkhua in a fehtermi zumnak chungin, Pathian Thu ah hmanthlak lo zianghman a um lo timi zumnak tlawmpal ihsin kan nei. Theihpiaknak tampi in fiang zetin a lang, ni neta ih Pathian kawhhran cu tlang pakhat a si.</w:t>
      </w:r>
    </w:p>
    <w:p>
      <w:pPr>
        <w:pStyle w:val="ArticleScripture"/>
        <w:jc w:val="left"/>
      </w:pPr>
      <w:r>
        <w:rPr>
          <w:rFonts w:ascii="Times New Roman" w:hAnsi="Times New Roman" w:eastAsia="Times New Roman" w:cs="Times New Roman"/>
        </w:rPr>
        <w:t>“Ny farany amin’ny andro dia izao no hitranga: ny tendrombohitry ny tranon’i Jehovah haorina eo an-tampon’ny tendrombohitra, ary hasandratra ambonin’ny havoana; ary ny firenena rehetra hirohotra ho any aminy. Ary maro ny vahoaka handeha ka hanao hoe: Avia ianareo, andeha isika hiakatra ho any an-tendrombohitry Jehovah, ho any an-tranon’Andriamanitr’i Jakoba; ary hampianatra antsika ny lalany Izy, ka handeha amin’ny alehany isika; fa avy any Ziona no hivoahan’ny lalàna, ary ny tenin’i Jehovah avy any Jerosalema.” Isaia 2:2, 3.</w:t>
      </w:r>
    </w:p>
    <w:p>
      <w:pPr>
        <w:pStyle w:val="ArticleBody"/>
        <w:jc w:val="left"/>
      </w:pPr>
      <w:r>
        <w:rPr>
          <w:rFonts w:ascii="Times New Roman" w:hAnsi="Times New Roman" w:eastAsia="Times New Roman" w:cs="Times New Roman"/>
        </w:rPr>
        <w:t>Mereka yang mengemukakan bahawa “tanah yang permai” ialah sebuah gereja, dan lebih kerap daripada tidak mereka mendakwa bahawa itulah gereja Seventh-day Adventist, berbuat demikian kerana Daniel mengenal pasti tanah itu sebagai “permai”, dan penaakulan dangkal mereka membuat kesimpulan bahawa, oleh sebab “gunung kudus yang permai” dalam ayat empat puluh lima sememangnya gereja Tuhan pada hari-hari terakhir, maka “tanah yang permai” itu juga mestilah gereja. Lagipun, kedua-duanya mengandungi kata sifat “permai.”</w:t>
      </w:r>
    </w:p>
    <w:p>
      <w:pPr>
        <w:pStyle w:val="ArticleBody"/>
        <w:jc w:val="left"/>
      </w:pPr>
      <w:r>
        <w:rPr>
          <w:rFonts w:ascii="Times New Roman" w:hAnsi="Times New Roman" w:eastAsia="Times New Roman" w:cs="Times New Roman"/>
        </w:rPr>
        <w:t>Ti a ndzi kona swihoxo eRitweni ra Xikwembu, kutani loko Daniyele a tirhisa rito leri nge “tiko,” hi ku hlanganisa ni rito leri nge “ku vangama,” naswona tindzimana ta mune endzhaku a tirhisa rito leri nge “ntsava lowo kwetsima,” hi ku hlanganisa ni rito leri nge “ku vangama,” Daniyele a a kombisa ku hambanisiwa loku kunguhatiweke exikarhi ka tiko ni ntsava. Tiko ra xiviri leri vangamaka i Yuda, naswona hi le motseng wa Yerusalema laha tempele ya Xikwembu yi akiweke kona. Yerusalema, kumbe tempele, swi nga twisisiwa tanihi kereke ya Xikwembu, kambe ndhawu leyi Yerusalema yi kumekaka eka yona i tiko ra Yuda. Mintiyiso yo tala yi tiyisiwe tanihi leswi vutivi a byi andza eka ku vonakala loku yaka emahlweni ka ntsumi ya vunharhu, kambe laha hi ntsena hi veka erivaleni ndzhaku ka vuprofeta lebyi kombisa swivumbeko swinharhu swa Rhoma.</w:t>
      </w:r>
    </w:p>
    <w:p>
      <w:pPr>
        <w:pStyle w:val="ArticleBody"/>
        <w:jc w:val="left"/>
      </w:pPr>
      <w:r>
        <w:rPr>
          <w:rFonts w:ascii="Times New Roman" w:hAnsi="Times New Roman" w:eastAsia="Times New Roman" w:cs="Times New Roman"/>
        </w:rPr>
        <w:t>Ngwaneluk na itte ke pagan Rome ye papal Rome ewe esi ekewịtibe mme witnes iba emi ekeme nditịm uto prophetic characteristics nke modern Rome, anyi akam ikọt enye principle of interpretation emi m kpọrọ “triple application of prophecy.” Ekem ekenyene ndidi ẹfen emi ekemede ndisio idem ke nte ẹdude threefold repetition nke ufọt prophecies, edi definition emi anyi ikọtde nte anyi ama anyan̄de bụ definition emi anyi ka ejije tutu ntịm. Ọ dị mkpa nditọghọ itte ke prophetic rule nke triple application of prophecy, emi Future for America esịtde ọfọn ofụri ntọ, akpanam nditịmde ke ini argument nke verses isii ikpeazu nke Daniel eleven; edi emi ọyọhọde mkpa kiet ye emi bụ itte ke argument oro ọduọk ke akpa recognition itte ke triple application of prophecy enyene Rome. Ke akụkọ Millerite, kiet ke arguments bụ ma Antiochus Epiphanes bụ “the robbers” nke ndị Daniel, ma ọ bụ itte “the robbers” bụ Rome, nte Millerites eketọghọde. Ihe mere emi ji dị mkpa bụ n’ihi itte ke Rome, dika “the robbers” nke ndị Daniel, bụ ndị ga-“established the vision” ke Daniel eleven, verse fourteen.</w:t>
      </w:r>
    </w:p>
    <w:p>
      <w:pPr>
        <w:pStyle w:val="ArticleScripture"/>
        <w:jc w:val="left"/>
      </w:pPr>
      <w:r>
        <w:rPr>
          <w:rFonts w:ascii="Times New Roman" w:hAnsi="Times New Roman" w:eastAsia="Times New Roman" w:cs="Times New Roman"/>
        </w:rPr>
        <w:t>Ge dinakong tse ba le bantsi ba tla tsogologela kgosi ya borwa; gape, dinokwane tsa batho ba gago di tla ikgodisa gore di tlhomamise pono; mme di tla wa. Daniele 11:14.</w:t>
      </w:r>
    </w:p>
    <w:p>
      <w:pPr>
        <w:pStyle w:val="ArticleBody"/>
        <w:jc w:val="left"/>
      </w:pP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သုံးဆိုင်အသုံးချမှုကို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နားလည်သဘောပေါက်ခဲ့သည့်အခါ၊</w:t>
      </w:r>
      <w:r>
        <w:rPr>
          <w:rFonts w:ascii="Times New Roman" w:hAnsi="Times New Roman" w:eastAsia="Times New Roman" w:cs="Times New Roman"/>
        </w:rPr>
        <w:t xml:space="preserve"> </w:t>
      </w:r>
      <w:r>
        <w:rPr>
          <w:rFonts w:ascii="Myanmar Text" w:hAnsi="Myanmar Text" w:eastAsia="Myanmar Text" w:cs="Myanmar Text"/>
        </w:rPr>
        <w:t>သမ္မာကျမ်းစာပရောဖက်ပြုချက်အတွင်း</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ပေါ်ထွန်းခြင်းသုံးမျိုး</w:t>
      </w:r>
      <w:r>
        <w:rPr>
          <w:rFonts w:ascii="Times New Roman" w:hAnsi="Times New Roman" w:eastAsia="Times New Roman" w:cs="Times New Roman"/>
        </w:rPr>
        <w:t xml:space="preserve"> </w:t>
      </w:r>
      <w:r>
        <w:rPr>
          <w:rFonts w:ascii="Myanmar Text" w:hAnsi="Myanmar Text" w:eastAsia="Myanmar Text" w:cs="Myanmar Text"/>
        </w:rPr>
        <w:t>ရှိကြောင်းအားဖြင့်</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အသိအမှတ်ပြုခဲ့ကြသည်။</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Millerite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ပြုခဲ့သကဲ့သို့ပင်</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တိုးတက်လာသော</w:t>
      </w:r>
      <w:r>
        <w:rPr>
          <w:rFonts w:ascii="Times New Roman" w:hAnsi="Times New Roman" w:eastAsia="Times New Roman" w:cs="Times New Roman"/>
        </w:rPr>
        <w:t xml:space="preserve"> </w:t>
      </w:r>
      <w:r>
        <w:rPr>
          <w:rFonts w:ascii="Myanmar Text" w:hAnsi="Myanmar Text" w:eastAsia="Myanmar Text" w:cs="Myanmar Text"/>
        </w:rPr>
        <w:t>အလင်း၏</w:t>
      </w:r>
      <w:r>
        <w:rPr>
          <w:rFonts w:ascii="Times New Roman" w:hAnsi="Times New Roman" w:eastAsia="Times New Roman" w:cs="Times New Roman"/>
        </w:rPr>
        <w:t xml:space="preserve"> </w:t>
      </w:r>
      <w:r>
        <w:rPr>
          <w:rFonts w:ascii="Myanmar Text" w:hAnsi="Myanmar Text" w:eastAsia="Myanmar Text" w:cs="Myanmar Text"/>
        </w:rPr>
        <w:t>ဗျာဒိတ်ကို</w:t>
      </w:r>
      <w:r>
        <w:rPr>
          <w:rFonts w:ascii="Times New Roman" w:hAnsi="Times New Roman" w:eastAsia="Times New Roman" w:cs="Times New Roman"/>
        </w:rPr>
        <w:t xml:space="preserve"> </w:t>
      </w:r>
      <w:r>
        <w:rPr>
          <w:rFonts w:ascii="Myanmar Text" w:hAnsi="Myanmar Text" w:eastAsia="Myanmar Text" w:cs="Myanmar Text"/>
        </w:rPr>
        <w:t>တည်ထောင်ခဲ့သည်။</w:t>
      </w:r>
      <w:r>
        <w:rPr>
          <w:rFonts w:ascii="Times New Roman" w:hAnsi="Times New Roman" w:eastAsia="Times New Roman" w:cs="Times New Roman"/>
        </w:rPr>
        <w:t xml:space="preserve"> Millerite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သန့်ရှင်းရာဌာနနှင့်</w:t>
      </w:r>
      <w:r>
        <w:rPr>
          <w:rFonts w:ascii="Times New Roman" w:hAnsi="Times New Roman" w:eastAsia="Times New Roman" w:cs="Times New Roman"/>
        </w:rPr>
        <w:t xml:space="preserve"> </w:t>
      </w:r>
      <w:r>
        <w:rPr>
          <w:rFonts w:ascii="Myanmar Text" w:hAnsi="Myanmar Text" w:eastAsia="Myanmar Text" w:cs="Myanmar Text"/>
        </w:rPr>
        <w:t>ဗိုလ်ခြေကို</w:t>
      </w:r>
      <w:r>
        <w:rPr>
          <w:rFonts w:ascii="Times New Roman" w:hAnsi="Times New Roman" w:eastAsia="Times New Roman" w:cs="Times New Roman"/>
        </w:rPr>
        <w:t xml:space="preserve"> </w:t>
      </w:r>
      <w:r>
        <w:rPr>
          <w:rFonts w:ascii="Myanmar Text" w:hAnsi="Myanmar Text" w:eastAsia="Myanmar Text" w:cs="Myanmar Text"/>
        </w:rPr>
        <w:t>နင်းချေခဲ့သော</w:t>
      </w:r>
      <w:r>
        <w:rPr>
          <w:rFonts w:ascii="Times New Roman" w:hAnsi="Times New Roman" w:eastAsia="Times New Roman" w:cs="Times New Roman"/>
        </w:rPr>
        <w:t xml:space="preserve"> </w:t>
      </w:r>
      <w:r>
        <w:rPr>
          <w:rFonts w:ascii="Myanmar Text" w:hAnsi="Myanmar Text" w:eastAsia="Myanmar Text" w:cs="Myanmar Text"/>
        </w:rPr>
        <w:t>အာဏာများသည်</w:t>
      </w:r>
      <w:r>
        <w:rPr>
          <w:rFonts w:ascii="Times New Roman" w:hAnsi="Times New Roman" w:eastAsia="Times New Roman" w:cs="Times New Roman"/>
        </w:rPr>
        <w:t xml:space="preserve"> </w:t>
      </w:r>
      <w:r>
        <w:rPr>
          <w:rFonts w:ascii="Myanmar Text" w:hAnsi="Myanmar Text" w:eastAsia="Myanmar Text" w:cs="Myanmar Text"/>
        </w:rPr>
        <w:t>အယူဝါဒဟောင်းနှင့်</w:t>
      </w:r>
      <w:r>
        <w:rPr>
          <w:rFonts w:ascii="Times New Roman" w:hAnsi="Times New Roman" w:eastAsia="Times New Roman" w:cs="Times New Roman"/>
        </w:rPr>
        <w:t xml:space="preserve"> </w:t>
      </w:r>
      <w:r>
        <w:rPr>
          <w:rFonts w:ascii="Myanmar Text" w:hAnsi="Myanmar Text" w:eastAsia="Myanmar Text" w:cs="Myanmar Text"/>
        </w:rPr>
        <w:t>ပုပ်ရဟန်းမင်းဝါဒ</w:t>
      </w:r>
      <w:r>
        <w:rPr>
          <w:rFonts w:ascii="Times New Roman" w:hAnsi="Times New Roman" w:eastAsia="Times New Roman" w:cs="Times New Roman"/>
        </w:rPr>
        <w:t xml:space="preserve"> </w:t>
      </w:r>
      <w:r>
        <w:rPr>
          <w:rFonts w:ascii="Myanmar Text" w:hAnsi="Myanmar Text" w:eastAsia="Myanmar Text" w:cs="Myanmar Text"/>
        </w:rPr>
        <w:t>ဖြစ်ကြောင်း</w:t>
      </w:r>
      <w:r>
        <w:rPr>
          <w:rFonts w:ascii="Times New Roman" w:hAnsi="Times New Roman" w:eastAsia="Times New Roman" w:cs="Times New Roman"/>
        </w:rPr>
        <w:t xml:space="preserve"> </w:t>
      </w:r>
      <w:r>
        <w:rPr>
          <w:rFonts w:ascii="Myanmar Text" w:hAnsi="Myanmar Text" w:eastAsia="Myanmar Text" w:cs="Myanmar Text"/>
        </w:rPr>
        <w:t>နားလည်မှုသည်</w:t>
      </w:r>
      <w:r>
        <w:rPr>
          <w:rFonts w:ascii="Times New Roman" w:hAnsi="Times New Roman" w:eastAsia="Times New Roman" w:cs="Times New Roman"/>
        </w:rPr>
        <w:t xml:space="preserve"> Miller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နားလည်သဘောပေါက်ချက်</w:t>
      </w:r>
      <w:r>
        <w:rPr>
          <w:rFonts w:ascii="Times New Roman" w:hAnsi="Times New Roman" w:eastAsia="Times New Roman" w:cs="Times New Roman"/>
        </w:rPr>
        <w:t xml:space="preserve"> “</w:t>
      </w:r>
      <w:r>
        <w:rPr>
          <w:rFonts w:ascii="Myanmar Text" w:hAnsi="Myanmar Text" w:eastAsia="Myanmar Text" w:cs="Myanmar Text"/>
        </w:rPr>
        <w:t>အားလုံး</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တည်ဆောက်ခဲ့သည့်</w:t>
      </w:r>
      <w:r>
        <w:rPr>
          <w:rFonts w:ascii="Times New Roman" w:hAnsi="Times New Roman" w:eastAsia="Times New Roman" w:cs="Times New Roman"/>
        </w:rPr>
        <w:t xml:space="preserve"> </w:t>
      </w:r>
      <w:r>
        <w:rPr>
          <w:rFonts w:ascii="Myanmar Text" w:hAnsi="Myanmar Text" w:eastAsia="Myanmar Text" w:cs="Myanmar Text"/>
        </w:rPr>
        <w:t>အမှန်တရား၏</w:t>
      </w:r>
      <w:r>
        <w:rPr>
          <w:rFonts w:ascii="Times New Roman" w:hAnsi="Times New Roman" w:eastAsia="Times New Roman" w:cs="Times New Roman"/>
        </w:rPr>
        <w:t xml:space="preserve"> </w:t>
      </w:r>
      <w:r>
        <w:rPr>
          <w:rFonts w:ascii="Myanmar Text" w:hAnsi="Myanmar Text" w:eastAsia="Myanmar Text" w:cs="Myanmar Text"/>
        </w:rPr>
        <w:t>မူဘောင်</w:t>
      </w:r>
      <w:r>
        <w:rPr>
          <w:rFonts w:ascii="Times New Roman" w:hAnsi="Times New Roman" w:eastAsia="Times New Roman" w:cs="Times New Roman"/>
        </w:rPr>
        <w:t xml:space="preserve"> </w:t>
      </w:r>
      <w:r>
        <w:rPr>
          <w:rFonts w:ascii="Myanmar Text" w:hAnsi="Myanmar Text" w:eastAsia="Myanmar Text" w:cs="Myanmar Text"/>
        </w:rPr>
        <w:t>ဖြစ်လာခဲ့သည်။</w:t>
      </w:r>
      <w:r>
        <w:rPr>
          <w:rFonts w:ascii="Times New Roman" w:hAnsi="Times New Roman" w:eastAsia="Times New Roman" w:cs="Times New Roman"/>
        </w:rPr>
        <w:t xml:space="preserve"> Daniel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ခြောက်ပိုဒ်သည်</w:t>
      </w:r>
      <w:r>
        <w:rPr>
          <w:rFonts w:ascii="Times New Roman" w:hAnsi="Times New Roman" w:eastAsia="Times New Roman" w:cs="Times New Roman"/>
        </w:rPr>
        <w:t xml:space="preserve"> Future for America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အသုံးချမှုများ</w:t>
      </w:r>
      <w:r>
        <w:rPr>
          <w:rFonts w:ascii="Times New Roman" w:hAnsi="Times New Roman" w:eastAsia="Times New Roman" w:cs="Times New Roman"/>
        </w:rPr>
        <w:t xml:space="preserve"> </w:t>
      </w:r>
      <w:r>
        <w:rPr>
          <w:rFonts w:ascii="Myanmar Text" w:hAnsi="Myanmar Text" w:eastAsia="Myanmar Text" w:cs="Myanmar Text"/>
        </w:rPr>
        <w:t>အားလုံးကို</w:t>
      </w:r>
      <w:r>
        <w:rPr>
          <w:rFonts w:ascii="Times New Roman" w:hAnsi="Times New Roman" w:eastAsia="Times New Roman" w:cs="Times New Roman"/>
        </w:rPr>
        <w:t xml:space="preserve">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တည်ဆောက်ထားသော</w:t>
      </w:r>
      <w:r>
        <w:rPr>
          <w:rFonts w:ascii="Times New Roman" w:hAnsi="Times New Roman" w:eastAsia="Times New Roman" w:cs="Times New Roman"/>
        </w:rPr>
        <w:t xml:space="preserve"> </w:t>
      </w:r>
      <w:r>
        <w:rPr>
          <w:rFonts w:ascii="Myanmar Text" w:hAnsi="Myanmar Text" w:eastAsia="Myanmar Text" w:cs="Myanmar Text"/>
        </w:rPr>
        <w:t>အမှန်တရား၏</w:t>
      </w:r>
      <w:r>
        <w:rPr>
          <w:rFonts w:ascii="Times New Roman" w:hAnsi="Times New Roman" w:eastAsia="Times New Roman" w:cs="Times New Roman"/>
        </w:rPr>
        <w:t xml:space="preserve"> </w:t>
      </w:r>
      <w:r>
        <w:rPr>
          <w:rFonts w:ascii="Myanmar Text" w:hAnsi="Myanmar Text" w:eastAsia="Myanmar Text" w:cs="Myanmar Text"/>
        </w:rPr>
        <w:t>မူဘောင်တစ်ရပ်ကို</w:t>
      </w:r>
      <w:r>
        <w:rPr>
          <w:rFonts w:ascii="Times New Roman" w:hAnsi="Times New Roman" w:eastAsia="Times New Roman" w:cs="Times New Roman"/>
        </w:rPr>
        <w:t xml:space="preserve"> </w:t>
      </w:r>
      <w:r>
        <w:rPr>
          <w:rFonts w:ascii="Myanmar Text" w:hAnsi="Myanmar Text" w:eastAsia="Myanmar Text" w:cs="Myanmar Text"/>
        </w:rPr>
        <w:t>တည်ထောင်ပေးခဲ့သည်။</w:t>
      </w:r>
      <w:r>
        <w:rPr>
          <w:rFonts w:ascii="Times New Roman" w:hAnsi="Times New Roman" w:eastAsia="Times New Roman" w:cs="Times New Roman"/>
        </w:rPr>
        <w:t xml:space="preserve"> </w:t>
      </w:r>
      <w:r>
        <w:rPr>
          <w:rFonts w:ascii="Myanmar Text" w:hAnsi="Myanmar Text" w:eastAsia="Myanmar Text" w:cs="Myanmar Text"/>
        </w:rPr>
        <w:t>ထိုမူဘောင်သည်</w:t>
      </w:r>
      <w:r>
        <w:rPr>
          <w:rFonts w:ascii="Times New Roman" w:hAnsi="Times New Roman" w:eastAsia="Times New Roman" w:cs="Times New Roman"/>
        </w:rPr>
        <w:t xml:space="preserve"> </w:t>
      </w:r>
      <w:r>
        <w:rPr>
          <w:rFonts w:ascii="Myanmar Text" w:hAnsi="Myanmar Text" w:eastAsia="Myanmar Text" w:cs="Myanmar Text"/>
        </w:rPr>
        <w:t>ကမ္ဘာကို</w:t>
      </w:r>
      <w:r>
        <w:rPr>
          <w:rFonts w:ascii="Times New Roman" w:hAnsi="Times New Roman" w:eastAsia="Times New Roman" w:cs="Times New Roman"/>
        </w:rPr>
        <w:t xml:space="preserve"> Armageddon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ဦးဆောင်သည့်</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တိရစ္ဆာန်နှင့်</w:t>
      </w:r>
      <w:r>
        <w:rPr>
          <w:rFonts w:ascii="Times New Roman" w:hAnsi="Times New Roman" w:eastAsia="Times New Roman" w:cs="Times New Roman"/>
        </w:rPr>
        <w:t xml:space="preserve"> </w:t>
      </w:r>
      <w:r>
        <w:rPr>
          <w:rFonts w:ascii="Myanmar Text" w:hAnsi="Myanmar Text" w:eastAsia="Myanmar Text" w:cs="Myanmar Text"/>
        </w:rPr>
        <w:t>မိစ္ဆာပရောဖက်</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ဖျက်ဆီးခြင်းပြုသော</w:t>
      </w:r>
      <w:r>
        <w:rPr>
          <w:rFonts w:ascii="Times New Roman" w:hAnsi="Times New Roman" w:eastAsia="Times New Roman" w:cs="Times New Roman"/>
        </w:rPr>
        <w:t xml:space="preserve"> </w:t>
      </w:r>
      <w:r>
        <w:rPr>
          <w:rFonts w:ascii="Myanmar Text" w:hAnsi="Myanmar Text" w:eastAsia="Myanmar Text" w:cs="Myanmar Text"/>
        </w:rPr>
        <w:t>အာဏာသုံးရပ်</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Kangka mi phêng a ni, Rome hnam sakhaw dang lam hnu-ah papal Rome-in chhinchhiahna pahnih a pe a, chu chu Rome thar a hriat theihna a siam tih pawmna chungah a ding a ni; tin, Rome thar chu thlarau biakna dragona (United Nations), Catholic sakhaw sakawlh (papacy), leh Protestant sakhaw kal sual zawng zawng false prophet (United States) te inpumkhata thumhnung a ni. Chu khangka chu kan hriat dânah hrilhlawkna hman thumve a ni. Thuziak lo awm zelah, hrilhlawkna hman thumve hrang hrang, kan hriat tawh te leh vântirhkoh pathumte êng lo kal zelin a siamtu khangka te chu kan sawi dawn a ni.</w:t>
      </w:r>
    </w:p>
    <w:p>
      <w:pPr>
        <w:pStyle w:val="ArticleBody"/>
        <w:jc w:val="left"/>
      </w:pPr>
      <w:r>
        <w:rPr>
          <w:rFonts w:ascii="Times New Roman" w:hAnsi="Times New Roman" w:eastAsia="Times New Roman" w:cs="Times New Roman"/>
        </w:rPr>
        <w:t>Itnan ne m̀mɛnsa a wɔda Roma adi no dwumadi mprɛnsa no ho nhwɛso bɛhwɛ, a ɛkyerɛkyerɛ nnɛyi Roma amammuisɛm ne nyamesom nhyehyɛe no, nea Nuaabea White frɛɛ no asɔredan adwuma ne ɔman adwuma. Wohu saa nhyehyɛe no denam nkɔmhyɛ suban ahorow a ɛfa abosonsom Roma ho no ne nkɔmhyɛ suban ahorow a ɛfa Papa Roma ho no a wɔde bom, de ahu na de asi suban ahorow no wɔ nnɛyi Roma mu so.</w:t>
      </w:r>
    </w:p>
    <w:p>
      <w:pPr>
        <w:pStyle w:val="ArticleBody"/>
        <w:jc w:val="left"/>
      </w:pPr>
      <w:r>
        <w:rPr>
          <w:rFonts w:ascii="Times New Roman" w:hAnsi="Times New Roman" w:eastAsia="Times New Roman" w:cs="Times New Roman"/>
        </w:rPr>
        <w:t>Tihlah tingin kan pemakaian tiga kali ganda bagi tiga penjelmaan Babilon saperti diwakili ulih Nimrod, Nebuchadnezzar enggau Belshazzar, ke ngelala pengangkat ati mensia bedosa ke duduk dalam Bait Allah lalu ngembuan ngambu diri Allah, ke dipadah Isaiah sebagai “orang Assyria ke angkuh.” Pengangkat ati kepausan, ke nyadika tu subjek nubuatan Bup Kudus, dikenali ngena ngumpul sekali ciri-ciri nubuatan Babel enggau ciri-ciri nubuatan Babilon kena ngelala sereta netapka ciri-ciri Babilon moden.</w:t>
      </w:r>
    </w:p>
    <w:p>
      <w:pPr>
        <w:pStyle w:val="ArticleBody"/>
        <w:jc w:val="left"/>
      </w:pPr>
      <w:r>
        <w:rPr>
          <w:rFonts w:ascii="Times New Roman" w:hAnsi="Times New Roman" w:eastAsia="Times New Roman" w:cs="Times New Roman"/>
        </w:rPr>
        <w:t>Kita akan meninjau penerapan rangkap tiga dari tiga perwujudan Elia sebagaimana diwakili oleh Elia dan Yohanes Pembaptis, yang mengidentifikasi “suara yang berseru-seru di padang gurun” pada hari-hari terakhir. Suara yang berseru-seru di padang gurun pada hari-hari terakhir melambangkan seorang penjaga tertentu yang merupakan suatu pergerakan, dan mengidentifikasi suatu kesaksian ganda di dalam sebuah pergerakan yang memiliki permulaan dan pengakhiran yang serupa. Kita diberitahukan bahwa tidak mungkin ada malaikat ketiga tanpa yang pertama dan yang kedua, sehingga pada satu tingkatan adalah mustahil memisahkan pergerakan malaikat pertama dari pergerakan malaikat ketiga, dan kedua pergerakan itu sama-sama dilambangkan oleh seorang penjaga yang telah ditipologikan oleh Elia dan Yohanes Pembaptis.</w:t>
      </w:r>
    </w:p>
    <w:p>
      <w:pPr>
        <w:pStyle w:val="ArticleScripture"/>
        <w:jc w:val="left"/>
      </w:pPr>
      <w:r>
        <w:rPr>
          <w:rFonts w:ascii="Times New Roman" w:hAnsi="Times New Roman" w:eastAsia="Times New Roman" w:cs="Times New Roman"/>
        </w:rPr>
        <w:t>“Ba pen le lentswe re tshwanetse go utlwatsa kgoeletso, re bontsha thulaganyo ya yone, le tiriso ya diporofeto tse di re isang molaetseng wa moengele wa boraro. Go ka se nne le wa boraro kwantle ga wa ntlha le wa bobedi. Melaetsa eno re tshwanetse go e naya lefatshe ka dikgatiso, ka dipuo, re bontsha mo tatelanong ya hisetori ya diporofeto dilo tse di nnileng teng le dilo tse di tla nnang teng.” Selected Messages, buka 2, 105.</w:t>
      </w:r>
    </w:p>
    <w:p>
      <w:pPr>
        <w:pStyle w:val="ArticleBody"/>
        <w:jc w:val="left"/>
      </w:pPr>
      <w:r>
        <w:rPr>
          <w:rFonts w:ascii="Times New Roman" w:hAnsi="Times New Roman" w:eastAsia="Times New Roman" w:cs="Times New Roman"/>
        </w:rPr>
        <w:t>Kita akan meneliti penerapan rangkap tiga dari tiga perwujudan utusan yang mempersiapkan jalan bagi Utusan Perjanjian untuk dengan tiba-tiba datang ke bait-Nya, sebagaimana dilambangkan oleh Yohanes Pembaptis dan William Miller. Penjaga terakhir adalah suatu pokok nubuat yang dikenali dengan mempertemukan ciri-ciri kenabian Yohanes Pembaptis dan William Miller untuk mengidentifikasi penggenapan terakhir dari kitab Maleakhi pasal tiga.</w:t>
      </w:r>
    </w:p>
    <w:p>
      <w:pPr>
        <w:pStyle w:val="ArticleScripture"/>
        <w:jc w:val="left"/>
      </w:pPr>
      <w:r>
        <w:rPr>
          <w:rFonts w:ascii="Times New Roman" w:hAnsi="Times New Roman" w:eastAsia="Times New Roman" w:cs="Times New Roman"/>
        </w:rPr>
        <w:t>“Lihatlah, Aku akan mengutus utusan-Ku, dan ia akan mempersiapkan jalan di hadapan-Ku; dan Tuhan, yang kamu cari, akan dengan tiba-tiba datang ke bait-Nya, yaitu utusan perjanjian, yang kamu sukai; lihatlah, Ia akan datang, firman Tuhan semesta alam.” Maleakhi 3:1.</w:t>
      </w:r>
    </w:p>
    <w:p>
      <w:pPr>
        <w:pStyle w:val="ArticleBody"/>
        <w:jc w:val="left"/>
      </w:pPr>
      <w:r>
        <w:rPr>
          <w:rFonts w:ascii="Times New Roman" w:hAnsi="Times New Roman" w:eastAsia="Times New Roman" w:cs="Times New Roman"/>
        </w:rPr>
        <w:t>Kita akan meneliti penerapan rangkap tiga dari tiga manifestasi Islam sebagaimana diwakili oleh ciri-ciri kenabian Islam dari bala celaka pertama dan kedua dalam Wahyu pasal delapan dan sembilan, yang mengidentifikasi ciri-ciri kenabian Islam dari bala celaka ketiga yang dikenal pasti dalam Wahyu pasal sepuluh dan sebelas.</w:t>
      </w:r>
    </w:p>
    <w:p>
      <w:pPr>
        <w:pStyle w:val="ArticleBody"/>
        <w:jc w:val="left"/>
      </w:pPr>
      <w:r>
        <w:rPr>
          <w:rFonts w:ascii="Times New Roman" w:hAnsi="Times New Roman" w:eastAsia="Times New Roman" w:cs="Times New Roman"/>
        </w:rPr>
        <w:t>Re tla tšwela pele ka dilo tše mo sehlogong se se latelago.</w:t>
      </w:r>
    </w:p>
    <w:p>
      <w:pPr>
        <w:pStyle w:val="ArticleScripture"/>
        <w:jc w:val="left"/>
      </w:pPr>
      <w:r>
        <w:rPr>
          <w:rFonts w:ascii="Times New Roman" w:hAnsi="Times New Roman" w:eastAsia="Times New Roman" w:cs="Times New Roman"/>
        </w:rPr>
        <w:t>“Dũkũga mũndũ o wothe akwĩre ũrĩa wa gũkũũgũra meciiria, dũkũga mũndũ o wothe akwĩre gũkũreheria meciiria, gũthuurĩrĩria, na gũthũoma nĩ ũndũ waku. Ũyũ nĩwe ũrutani ũrĩa twagĩrĩirwo gũikara tũwĩhokete naguo umũthĩ ũyũ. Aingĩ a inyuĩ mũmenyete wega atĩ ihiga rĩrĩa rĩa goro kĩa ũthamaki wa Ngai na wa Jesu Kristũ rĩrĩ thĩinĩ wa Bibilia ĩrĩa mũnyiitĩte moko-inĩ manyu. Nĩ mũmenyete atĩ gũtirĩ kĩbana gĩothe gĩa thĩ gĩkũnyitĩka hatarĩ na kwĩhĩta mũno. Nĩ kĩĩ gĩtũmaga mwĩhoko atĩ no mũmenye indo cia goro cia riũ rĩa Ngai hatarĩ na gũcũrũrũkia Maandĩko na kĩyo mũno?”</w:t>
      </w:r>
    </w:p>
    <w:p>
      <w:pPr>
        <w:pStyle w:val="ArticleScripture"/>
        <w:jc w:val="left"/>
      </w:pPr>
      <w:r>
        <w:rPr>
          <w:rFonts w:ascii="Times New Roman" w:hAnsi="Times New Roman" w:eastAsia="Times New Roman" w:cs="Times New Roman"/>
        </w:rPr>
        <w:t>“Fundu okhuhle futsi kulungile kufundza liBhayibheli; kodvwa umsebenti wakho awupheli lapho; ngobe kufanele nicubungule emakhasi alo ngani. Lwati ngaNkulunkulu alutfolakali ngaphandle kwemzamo wengcondvo, ngaphandle kwemkhuleko wekucela kuhlakanipha kuze nihlukanise nenhlavu lemsulwa yeliciniso emakhoba lapho bantfu naSathane bamisele kabi timfundziso teliciniso. Sathane nenhlangano yakhe yebasebenti bebantfu batamile kuhlanganisa emakhoba ephutsa nengcolosi yeliciniso. Kufanele sifune ngenkhutsalo umcebo lofihlakele, futsi sifune kuhlakanipha lokuvela ezulwini kuze sehlukanise tinkholelo letasungulwa bantfu nemiyalo yaNkulunkulu. Moya loNgcwele utawusita lofunako emacinisweni lamakhulu nalaligugu lahambisana nelisu lensindziso. Ngifisa kugcizelela kubo bonkhe liciniso lekutsi kufundza imiBhalo nje nje akwenele. Kufanele sicubungule, futsi loku kusho kwenta konkhe loko leligama lelikusho. Njengobe umvukuzi acubungula umhlaba ngelulangatelelo kuze atfole imigca yawo yeligolide, kanjalo nani kufanele nicubungule livi laNkulunkulu ngebufakazi bemcebo lofihlakele Sathane labesekade afuna kuwufihlela bantfu. INkhosi itsi, ‘Uma umuntfu afisa kwenta intsandvo yaKhe, utawukwati ngemfundziso.’ Johane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ni Daniel - Nombo Nombu Duwalu Duwa</dc:title>
  <dc:subject>Menyingkapkan Nubuatan: Penerapan Tiga Lapis atas Enam Ayat Terakhir Kitab Daniel dan Terang yang Makin Bertambah dari Malaikat Ketiga</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