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Nombor Sebelas</w:t>
      </w:r>
    </w:p>
    <w:p>
      <w:pPr>
        <w:pStyle w:val="ArticleSubtitle"/>
        <w:jc w:val="left"/>
      </w:pPr>
      <w:r>
        <w:rPr>
          <w:rFonts w:ascii="Arial" w:hAnsi="Arial" w:eastAsia="Arial" w:cs="Arial"/>
        </w:rPr>
        <w:t>Nafsi a Ɔdi Kan Munna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2023-10-15</w:t>
      </w:r>
    </w:p>
    <w:p>
      <w:pPr>
        <w:pStyle w:val="ArticleBody"/>
        <w:jc w:val="left"/>
      </w:pPr>
      <w:r>
        <w:rPr>
          <w:rFonts w:ascii="Times New Roman" w:hAnsi="Times New Roman" w:eastAsia="Times New Roman" w:cs="Times New Roman"/>
        </w:rPr>
        <w:t>Pemberontakan anak lembu emas Harun pada permulaan Israel purba, secara nubuat selaras dengan pemberontakan Yerobeam pada permulaan sepuluh suku kerajaan utara Efraim. Sejarah-sejarah suci ini melambangkan pemberontakan Adventisme pada tahun 1863.</w:t>
      </w:r>
    </w:p>
    <w:p>
      <w:pPr>
        <w:pStyle w:val="ArticleBody"/>
        <w:jc w:val="left"/>
      </w:pPr>
      <w:r>
        <w:rPr>
          <w:rFonts w:ascii="Nirmala UI" w:hAnsi="Nirmala UI" w:eastAsia="Nirmala UI" w:cs="Nirmala UI"/>
        </w:rPr>
        <w:t>बाङ्नि</w:t>
      </w:r>
      <w:r>
        <w:rPr>
          <w:rFonts w:ascii="Times New Roman" w:hAnsi="Times New Roman" w:eastAsia="Times New Roman" w:cs="Times New Roman"/>
        </w:rPr>
        <w:t xml:space="preserve">, 1863 </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गोनांनाय</w:t>
      </w:r>
      <w:r>
        <w:rPr>
          <w:rFonts w:ascii="Times New Roman" w:hAnsi="Times New Roman" w:eastAsia="Times New Roman" w:cs="Times New Roman"/>
        </w:rPr>
        <w:t xml:space="preserve"> </w:t>
      </w:r>
      <w:r>
        <w:rPr>
          <w:rFonts w:ascii="Nirmala UI" w:hAnsi="Nirmala UI" w:eastAsia="Nirmala UI" w:cs="Nirmala UI"/>
        </w:rPr>
        <w:t>जायगा</w:t>
      </w:r>
      <w:r>
        <w:rPr>
          <w:rFonts w:ascii="Times New Roman" w:hAnsi="Times New Roman" w:eastAsia="Times New Roman" w:cs="Times New Roman"/>
        </w:rPr>
        <w:t xml:space="preserve"> </w:t>
      </w:r>
      <w:r>
        <w:rPr>
          <w:rFonts w:ascii="Nirmala UI" w:hAnsi="Nirmala UI" w:eastAsia="Nirmala UI" w:cs="Nirmala UI"/>
        </w:rPr>
        <w:t>फोरोमबा</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गोहो</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नाथाय</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यारोबोआम</w:t>
      </w:r>
      <w:r>
        <w:rPr>
          <w:rFonts w:ascii="Times New Roman" w:hAnsi="Times New Roman" w:eastAsia="Times New Roman" w:cs="Times New Roman"/>
        </w:rPr>
        <w:t xml:space="preserve"> </w:t>
      </w:r>
      <w:r>
        <w:rPr>
          <w:rFonts w:ascii="Nirmala UI" w:hAnsi="Nirmala UI" w:eastAsia="Nirmala UI" w:cs="Nirmala UI"/>
        </w:rPr>
        <w:t>एसे</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गोहो</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1863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जाफुंखान्थि</w:t>
      </w:r>
      <w:r>
        <w:rPr>
          <w:rFonts w:ascii="Times New Roman" w:hAnsi="Times New Roman" w:eastAsia="Times New Roman" w:cs="Times New Roman"/>
        </w:rPr>
        <w:t xml:space="preserve"> </w:t>
      </w:r>
      <w:r>
        <w:rPr>
          <w:rFonts w:ascii="Nirmala UI" w:hAnsi="Nirmala UI" w:eastAsia="Nirmala UI" w:cs="Nirmala UI"/>
        </w:rPr>
        <w:t>आव</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जाफुंखान्थिसो</w:t>
      </w:r>
      <w:r>
        <w:rPr>
          <w:rFonts w:ascii="Times New Roman" w:hAnsi="Times New Roman" w:eastAsia="Times New Roman" w:cs="Times New Roman"/>
        </w:rPr>
        <w:t xml:space="preserve"> </w:t>
      </w:r>
      <w:r>
        <w:rPr>
          <w:rFonts w:ascii="Nirmala UI" w:hAnsi="Nirmala UI" w:eastAsia="Nirmala UI" w:cs="Nirmala UI"/>
        </w:rPr>
        <w:t>एखे</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बिथां</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हजारनि</w:t>
      </w:r>
      <w:r>
        <w:rPr>
          <w:rFonts w:ascii="Times New Roman" w:hAnsi="Times New Roman" w:eastAsia="Times New Roman" w:cs="Times New Roman"/>
        </w:rPr>
        <w:t xml:space="preserve"> </w:t>
      </w:r>
      <w:r>
        <w:rPr>
          <w:rFonts w:ascii="Nirmala UI" w:hAnsi="Nirmala UI" w:eastAsia="Nirmala UI" w:cs="Nirmala UI"/>
        </w:rPr>
        <w:t>गुदि</w:t>
      </w:r>
      <w:r>
        <w:rPr>
          <w:rFonts w:ascii="Times New Roman" w:hAnsi="Times New Roman" w:eastAsia="Times New Roman" w:cs="Times New Roman"/>
        </w:rPr>
        <w:t>-</w:t>
      </w:r>
      <w:r>
        <w:rPr>
          <w:rFonts w:ascii="Nirmala UI" w:hAnsi="Nirmala UI" w:eastAsia="Nirmala UI" w:cs="Nirmala UI"/>
        </w:rPr>
        <w:t>खान्थिखौ</w:t>
      </w:r>
      <w:r>
        <w:rPr>
          <w:rFonts w:ascii="Times New Roman" w:hAnsi="Times New Roman" w:eastAsia="Times New Roman" w:cs="Times New Roman"/>
        </w:rPr>
        <w:t xml:space="preserve"> </w:t>
      </w:r>
      <w:r>
        <w:rPr>
          <w:rFonts w:ascii="Nirmala UI" w:hAnsi="Nirmala UI" w:eastAsia="Nirmala UI" w:cs="Nirmala UI"/>
        </w:rPr>
        <w:t>बुङो</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प्रोटेस्टान्ट</w:t>
      </w:r>
      <w:r>
        <w:rPr>
          <w:rFonts w:ascii="Times New Roman" w:hAnsi="Times New Roman" w:eastAsia="Times New Roman" w:cs="Times New Roman"/>
        </w:rPr>
        <w:t xml:space="preserve"> </w:t>
      </w:r>
      <w:r>
        <w:rPr>
          <w:rFonts w:ascii="Nirmala UI" w:hAnsi="Nirmala UI" w:eastAsia="Nirmala UI" w:cs="Nirmala UI"/>
        </w:rPr>
        <w:t>सिङा</w:t>
      </w:r>
      <w:r>
        <w:rPr>
          <w:rFonts w:ascii="Times New Roman" w:hAnsi="Times New Roman" w:eastAsia="Times New Roman" w:cs="Times New Roman"/>
        </w:rPr>
        <w:t xml:space="preserve">, </w:t>
      </w:r>
      <w:r>
        <w:rPr>
          <w:rFonts w:ascii="Nirmala UI" w:hAnsi="Nirmala UI" w:eastAsia="Nirmala UI" w:cs="Nirmala UI"/>
        </w:rPr>
        <w:t>खालामनाय</w:t>
      </w:r>
      <w:r>
        <w:rPr>
          <w:rFonts w:ascii="Times New Roman" w:hAnsi="Times New Roman" w:eastAsia="Times New Roman" w:cs="Times New Roman"/>
        </w:rPr>
        <w:t xml:space="preserve"> </w:t>
      </w:r>
      <w:r>
        <w:rPr>
          <w:rFonts w:ascii="Nirmala UI" w:hAnsi="Nirmala UI" w:eastAsia="Nirmala UI" w:cs="Nirmala UI"/>
        </w:rPr>
        <w:t>बाइबेलनि</w:t>
      </w:r>
      <w:r>
        <w:rPr>
          <w:rFonts w:ascii="Times New Roman" w:hAnsi="Times New Roman" w:eastAsia="Times New Roman" w:cs="Times New Roman"/>
        </w:rPr>
        <w:t xml:space="preserve"> </w:t>
      </w:r>
      <w:r>
        <w:rPr>
          <w:rFonts w:ascii="Nirmala UI" w:hAnsi="Nirmala UI" w:eastAsia="Nirmala UI" w:cs="Nirmala UI"/>
        </w:rPr>
        <w:t>भावबाणीनि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राजजाथाइनि</w:t>
      </w:r>
      <w:r>
        <w:rPr>
          <w:rFonts w:ascii="Times New Roman" w:hAnsi="Times New Roman" w:eastAsia="Times New Roman" w:cs="Times New Roman"/>
        </w:rPr>
        <w:t xml:space="preserve"> </w:t>
      </w:r>
      <w:r>
        <w:rPr>
          <w:rFonts w:ascii="Nirmala UI" w:hAnsi="Nirmala UI" w:eastAsia="Nirmala UI" w:cs="Nirmala UI"/>
        </w:rPr>
        <w:t>जोबथा</w:t>
      </w:r>
      <w:r>
        <w:rPr>
          <w:rFonts w:ascii="Times New Roman" w:hAnsi="Times New Roman" w:eastAsia="Times New Roman" w:cs="Times New Roman"/>
        </w:rPr>
        <w:t xml:space="preserve"> </w:t>
      </w:r>
      <w:r>
        <w:rPr>
          <w:rFonts w:ascii="Nirmala UI" w:hAnsi="Nirmala UI" w:eastAsia="Nirmala UI" w:cs="Nirmala UI"/>
        </w:rPr>
        <w:t>सानबा</w:t>
      </w:r>
      <w:r>
        <w:rPr>
          <w:rFonts w:ascii="Times New Roman" w:hAnsi="Times New Roman" w:eastAsia="Times New Roman" w:cs="Times New Roman"/>
        </w:rPr>
        <w:t xml:space="preserve"> </w:t>
      </w:r>
      <w:r>
        <w:rPr>
          <w:rFonts w:ascii="Nirmala UI" w:hAnsi="Nirmala UI" w:eastAsia="Nirmala UI" w:cs="Nirmala UI"/>
        </w:rPr>
        <w:t>नोंथांखौ</w:t>
      </w:r>
      <w:r>
        <w:rPr>
          <w:rFonts w:ascii="Times New Roman" w:hAnsi="Times New Roman" w:eastAsia="Times New Roman" w:cs="Times New Roman"/>
        </w:rPr>
        <w:t xml:space="preserve"> </w:t>
      </w:r>
      <w:r>
        <w:rPr>
          <w:rFonts w:ascii="Nirmala UI" w:hAnsi="Nirmala UI" w:eastAsia="Nirmala UI" w:cs="Nirmala UI"/>
        </w:rPr>
        <w:t>लांगोनो</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बेखायनो</w:t>
      </w:r>
      <w:r>
        <w:rPr>
          <w:rFonts w:ascii="Times New Roman" w:hAnsi="Times New Roman" w:eastAsia="Times New Roman" w:cs="Times New Roman"/>
        </w:rPr>
        <w:t xml:space="preserve"> </w:t>
      </w:r>
      <w:r>
        <w:rPr>
          <w:rFonts w:ascii="Nirmala UI" w:hAnsi="Nirmala UI" w:eastAsia="Nirmala UI" w:cs="Nirmala UI"/>
        </w:rPr>
        <w:t>प्रोबेसननि</w:t>
      </w:r>
      <w:r>
        <w:rPr>
          <w:rFonts w:ascii="Times New Roman" w:hAnsi="Times New Roman" w:eastAsia="Times New Roman" w:cs="Times New Roman"/>
        </w:rPr>
        <w:t xml:space="preserve"> </w:t>
      </w:r>
      <w:r>
        <w:rPr>
          <w:rFonts w:ascii="Nirmala UI" w:hAnsi="Nirmala UI" w:eastAsia="Nirmala UI" w:cs="Nirmala UI"/>
        </w:rPr>
        <w:t>जोंफै</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सिगांबो।</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जाफुंखान्थिसो</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राजजाथाइआव</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सिङानि</w:t>
      </w:r>
      <w:r>
        <w:rPr>
          <w:rFonts w:ascii="Times New Roman" w:hAnsi="Times New Roman" w:eastAsia="Times New Roman" w:cs="Times New Roman"/>
        </w:rPr>
        <w:t xml:space="preserve"> </w:t>
      </w:r>
      <w:r>
        <w:rPr>
          <w:rFonts w:ascii="Nirmala UI" w:hAnsi="Nirmala UI" w:eastAsia="Nirmala UI" w:cs="Nirmala UI"/>
        </w:rPr>
        <w:t>समानान्तर</w:t>
      </w:r>
      <w:r>
        <w:rPr>
          <w:rFonts w:ascii="Times New Roman" w:hAnsi="Times New Roman" w:eastAsia="Times New Roman" w:cs="Times New Roman"/>
        </w:rPr>
        <w:t xml:space="preserve"> </w:t>
      </w:r>
      <w:r>
        <w:rPr>
          <w:rFonts w:ascii="Nirmala UI" w:hAnsi="Nirmala UI" w:eastAsia="Nirmala UI" w:cs="Nirmala UI"/>
        </w:rPr>
        <w:t>जाफुंखान्थिखौबो</w:t>
      </w:r>
      <w:r>
        <w:rPr>
          <w:rFonts w:ascii="Times New Roman" w:hAnsi="Times New Roman" w:eastAsia="Times New Roman" w:cs="Times New Roman"/>
        </w:rPr>
        <w:t xml:space="preserve"> </w:t>
      </w:r>
      <w:r>
        <w:rPr>
          <w:rFonts w:ascii="Nirmala UI" w:hAnsi="Nirmala UI" w:eastAsia="Nirmala UI" w:cs="Nirmala UI"/>
        </w:rPr>
        <w:t>नायो।</w:t>
      </w:r>
    </w:p>
    <w:p>
      <w:pPr>
        <w:pStyle w:val="ArticleBody"/>
        <w:jc w:val="left"/>
      </w:pPr>
      <w:r>
        <w:rPr>
          <w:rFonts w:ascii="Times New Roman" w:hAnsi="Times New Roman" w:eastAsia="Times New Roman" w:cs="Times New Roman"/>
        </w:rPr>
        <w:t>Kebenaran bahawa gereja Seventh-day Adventist ialah umat baki Tuhan pada akhir dunia pada umumnya merupakan suatu perkara yang sangat sukar diterima oleh mereka yang percaya. Kepercayaan itu ialah kesilapan pertama kita. Tiada bukti alkitabiah bahawa gereja Laodikia mewakili umat yang diangkat sebagai panji pada waktu krisis hukum Ahad. Kesilapan pertama kita ialah menerima premis palsu bahawa demikianlah halnya. Panji pada akhir dunia terdiri daripada mereka yang telah diusir oleh anggota-anggota rumah ibadat Iblis.</w:t>
      </w:r>
    </w:p>
    <w:p>
      <w:pPr>
        <w:pStyle w:val="ArticleScripture"/>
        <w:jc w:val="left"/>
      </w:pPr>
      <w:r>
        <w:rPr>
          <w:rFonts w:ascii="Times New Roman" w:hAnsi="Times New Roman" w:eastAsia="Times New Roman" w:cs="Times New Roman"/>
        </w:rPr>
        <w:t>Beliau akan mendirikan suatu panji bagi bangsa-bangsa, dan akan menghimpunkan orang-orang buangan Israel, serta mengumpulkan orang-orang Yehuda yang tercerai-berai dari keempat penjuru bumi. Yesaya 11:12.</w:t>
      </w:r>
    </w:p>
    <w:p>
      <w:pPr>
        <w:pStyle w:val="ArticleBody"/>
        <w:jc w:val="left"/>
      </w:pPr>
      <w:r>
        <w:rPr>
          <w:rFonts w:ascii="Times New Roman" w:hAnsi="Times New Roman" w:eastAsia="Times New Roman" w:cs="Times New Roman"/>
        </w:rPr>
        <w:t>Ke Vaodikea Adventist ha te a ntshetsang ntle bao e tla ba folakha.</w:t>
      </w:r>
    </w:p>
    <w:p>
      <w:pPr>
        <w:pStyle w:val="ArticleScripture"/>
        <w:jc w:val="left"/>
      </w:pPr>
      <w:r>
        <w:rPr>
          <w:rFonts w:ascii="Times New Roman" w:hAnsi="Times New Roman" w:eastAsia="Times New Roman" w:cs="Times New Roman"/>
        </w:rPr>
        <w:t>Dengarlah firman Tuhan, hai kamu yang gentar akan firman-Nya; Saudara-saudaramu yang membenci kamu, yang mengusir kamu oleh karena nama-Ku, berkata, Biarlah Tuhan dimuliakan; tetapi Ia akan menampakkan diri untuk sukacitamu, dan mereka akan mendapat malu. Yesaya 66:5.</w:t>
      </w:r>
    </w:p>
    <w:p>
      <w:pPr>
        <w:pStyle w:val="ArticleBody"/>
        <w:jc w:val="left"/>
      </w:pPr>
      <w:r>
        <w:rPr>
          <w:rFonts w:ascii="Times New Roman" w:hAnsi="Times New Roman" w:eastAsia="Times New Roman" w:cs="Times New Roman"/>
        </w:rPr>
        <w:t>Ba ba dirileng sesupo ba latlhelwa kwa ntle ka ntlha ya “leina” la ga Keresete. Leina le le bakang tlhoa ke Alefa le Omega, gonne molao-motheo wa Alefa le Omega ke one o o supang sentle yo Kereke ya Seventh-day Adventist e mo emelang mo boperofeteng jwa Baebele. Setshwantsho sa makgarebe a le some se emela Boadventiste.</w:t>
      </w:r>
    </w:p>
    <w:p>
      <w:pPr>
        <w:pStyle w:val="ArticleScripture"/>
        <w:jc w:val="left"/>
      </w:pPr>
      <w:r>
        <w:rPr>
          <w:rFonts w:ascii="Times New Roman" w:hAnsi="Times New Roman" w:eastAsia="Times New Roman" w:cs="Times New Roman"/>
        </w:rPr>
        <w:t>“Papiso ea barwetsana ba lesome ya ho Matheu 25 le yona e bontsha boiphihlelo ba setjhaba sa Maadventist.” The Great Controversy, 393.</w:t>
      </w:r>
    </w:p>
    <w:p>
      <w:pPr>
        <w:pStyle w:val="ArticleBody"/>
        <w:jc w:val="left"/>
      </w:pPr>
      <w:r>
        <w:rPr>
          <w:rFonts w:ascii="Times New Roman" w:hAnsi="Times New Roman" w:eastAsia="Times New Roman" w:cs="Times New Roman"/>
        </w:rPr>
        <w:t>Musi nde mu nḓila ya u thoma ha Adventism, nahone i khou ḓadziswa hafhu nga vhuronwane hoṱhe vhukuma mafheloni.</w:t>
      </w:r>
    </w:p>
    <w:p>
      <w:pPr>
        <w:pStyle w:val="ArticleScripture"/>
        <w:jc w:val="left"/>
      </w:pPr>
      <w:r>
        <w:rPr>
          <w:rFonts w:ascii="Times New Roman" w:hAnsi="Times New Roman" w:eastAsia="Times New Roman" w:cs="Times New Roman"/>
        </w:rPr>
        <w:t>“Ndzi tala ku kongomisiwa eka xifaniso xa vanhwanyana va khume, ntlhanu wa vona a va tlharihile, kutani ntlhanu a va ri swiphukuphuku. Xifaniso lexi xi hetisekile naswona xi ta hetiseka ku ya hi maletere ya xona hi ku helela, hikuva xi na ntirho wo hlawuleka eka nkarhi lowu, naswona, kufana ni rungula ra ntsumi ya vunharhu, xi hetisekile naswona xi ta ya emahlweni xi ri ntiyiso wa nkarhi wa sweswi ku fikela eku pfaleni ka nkarhi.” Review and Herald, August 19, 1890.</w:t>
      </w:r>
    </w:p>
    <w:p>
      <w:pPr>
        <w:pStyle w:val="ArticleBody"/>
        <w:jc w:val="left"/>
      </w:pPr>
      <w:r>
        <w:rPr>
          <w:rFonts w:ascii="Times New Roman" w:hAnsi="Times New Roman" w:eastAsia="Times New Roman" w:cs="Times New Roman"/>
        </w:rPr>
        <w:t>Bona ba dieleele bao ba tsogang mme ba lemoga gore ga ba na lookwane ke Balawodikea.</w:t>
      </w:r>
    </w:p>
    <w:p>
      <w:pPr>
        <w:pStyle w:val="ArticleScripture"/>
        <w:jc w:val="left"/>
      </w:pPr>
      <w:r>
        <w:rPr>
          <w:rFonts w:ascii="Times New Roman" w:hAnsi="Times New Roman" w:eastAsia="Times New Roman" w:cs="Times New Roman"/>
        </w:rPr>
        <w:t>“Thuthilo ya Kereke leyi yimeleriwaka hi vanhwanyana vo humbuka, yi tlhela yi vuriwa xiyimo xa Laodikiya.” Review and Herald, August 19, 1890.</w:t>
      </w:r>
    </w:p>
    <w:p>
      <w:pPr>
        <w:pStyle w:val="ArticleBody"/>
        <w:jc w:val="left"/>
      </w:pPr>
      <w:r>
        <w:rPr>
          <w:rFonts w:ascii="Times New Roman" w:hAnsi="Times New Roman" w:eastAsia="Times New Roman" w:cs="Times New Roman"/>
        </w:rPr>
        <w:t>Peganapana ha maleba a bohlale, ao hape a emeloang e le kereke ea Filadelfia, ke khahlanong le kereke e ipolelang hore ke Bajuda, empa ha ba joalo.</w:t>
      </w:r>
    </w:p>
    <w:p>
      <w:pPr>
        <w:pStyle w:val="ArticleScripture"/>
        <w:jc w:val="left"/>
      </w:pPr>
      <w:r>
        <w:rPr>
          <w:rFonts w:ascii="Times New Roman" w:hAnsi="Times New Roman" w:eastAsia="Times New Roman" w:cs="Times New Roman"/>
        </w:rPr>
        <w:t>Сатанның мәжілісханасынан болған, өздерін яһудиміз деп айтып, бірақ олай болмай, өтірік сөйлейтіндерді, міне, Мен сенің аяғыңның алдына келтіріп, тағзым еткіземін, әрі сені сүйгенімді оларға білдіремін. Аян 3:9.</w:t>
      </w:r>
    </w:p>
    <w:p>
      <w:pPr>
        <w:pStyle w:val="ArticleBody"/>
        <w:jc w:val="left"/>
      </w:pPr>
      <w:r>
        <w:rPr>
          <w:rFonts w:ascii="Times New Roman" w:hAnsi="Times New Roman" w:eastAsia="Times New Roman" w:cs="Times New Roman"/>
        </w:rPr>
        <w:t>Kgaitsedi White o bua ka temana eno mo kgatisong ya ntlha thata morago ga kgoberego e kgolo.</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ဖျာတော်မူသောသူတို့၏</w:t>
      </w:r>
      <w:r>
        <w:rPr>
          <w:rFonts w:ascii="Times New Roman" w:hAnsi="Times New Roman" w:eastAsia="Times New Roman" w:cs="Times New Roman"/>
        </w:rPr>
        <w:t xml:space="preserve"> </w:t>
      </w:r>
      <w:r>
        <w:rPr>
          <w:rFonts w:ascii="Myanmar Text" w:hAnsi="Myanmar Text" w:eastAsia="Myanmar Text" w:cs="Myanmar Text"/>
        </w:rPr>
        <w:t>ခြေတော်ရှေ့၌</w:t>
      </w:r>
      <w:r>
        <w:rPr>
          <w:rFonts w:ascii="Times New Roman" w:hAnsi="Times New Roman" w:eastAsia="Times New Roman" w:cs="Times New Roman"/>
        </w:rPr>
        <w:t xml:space="preserve"> </w:t>
      </w:r>
      <w:r>
        <w:rPr>
          <w:rFonts w:ascii="Myanmar Text" w:hAnsi="Myanmar Text" w:eastAsia="Myanmar Text" w:cs="Myanmar Text"/>
        </w:rPr>
        <w:t>ကိုးကွယ်ကြသောသူများသည်</w:t>
      </w:r>
      <w:r>
        <w:rPr>
          <w:rFonts w:ascii="Times New Roman" w:hAnsi="Times New Roman" w:eastAsia="Times New Roman" w:cs="Times New Roman"/>
        </w:rPr>
        <w:t xml:space="preserve"> (Revelation 3:9)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ကယ်တင်ခြင်းကို</w:t>
      </w:r>
      <w:r>
        <w:rPr>
          <w:rFonts w:ascii="Times New Roman" w:hAnsi="Times New Roman" w:eastAsia="Times New Roman" w:cs="Times New Roman"/>
        </w:rPr>
        <w:t xml:space="preserve"> </w:t>
      </w:r>
      <w:r>
        <w:rPr>
          <w:rFonts w:ascii="Myanmar Text" w:hAnsi="Myanmar Text" w:eastAsia="Myanmar Text" w:cs="Myanmar Text"/>
        </w:rPr>
        <w:t>ရလိမ့်မည်ဟု</w:t>
      </w:r>
      <w:r>
        <w:rPr>
          <w:rFonts w:ascii="Times New Roman" w:hAnsi="Times New Roman" w:eastAsia="Times New Roman" w:cs="Times New Roman"/>
        </w:rPr>
        <w:t xml:space="preserve"> </w:t>
      </w:r>
      <w:r>
        <w:rPr>
          <w:rFonts w:ascii="Myanmar Text" w:hAnsi="Myanmar Text" w:eastAsia="Myanmar Text" w:cs="Myanmar Text"/>
        </w:rPr>
        <w:t>သင်ထင်သည်။</w:t>
      </w:r>
      <w:r>
        <w:rPr>
          <w:rFonts w:ascii="Times New Roman" w:hAnsi="Times New Roman" w:eastAsia="Times New Roman" w:cs="Times New Roman"/>
        </w:rPr>
        <w:t xml:space="preserve"> </w:t>
      </w:r>
      <w:r>
        <w:rPr>
          <w:rFonts w:ascii="Myanmar Text" w:hAnsi="Myanmar Text" w:eastAsia="Myanmar Text" w:cs="Myanmar Text"/>
        </w:rPr>
        <w:t>ဤနေရာတွင်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သင်နှင့်</w:t>
      </w:r>
      <w:r>
        <w:rPr>
          <w:rFonts w:ascii="Times New Roman" w:hAnsi="Times New Roman" w:eastAsia="Times New Roman" w:cs="Times New Roman"/>
        </w:rPr>
        <w:t xml:space="preserve"> </w:t>
      </w:r>
      <w:r>
        <w:rPr>
          <w:rFonts w:ascii="Myanmar Text" w:hAnsi="Myanmar Text" w:eastAsia="Myanmar Text" w:cs="Myanmar Text"/>
        </w:rPr>
        <w:t>သဘောမတူရမည်ဖြစ်သည်။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ဤအုပ်စုသည်</w:t>
      </w:r>
      <w:r>
        <w:rPr>
          <w:rFonts w:ascii="Times New Roman" w:hAnsi="Times New Roman" w:eastAsia="Times New Roman" w:cs="Times New Roman"/>
        </w:rPr>
        <w:t xml:space="preserve"> </w:t>
      </w:r>
      <w:r>
        <w:rPr>
          <w:rFonts w:ascii="Myanmar Text" w:hAnsi="Myanmar Text" w:eastAsia="Myanmar Text" w:cs="Myanmar Text"/>
        </w:rPr>
        <w:t>တစ်ချိန်က</w:t>
      </w:r>
      <w:r>
        <w:rPr>
          <w:rFonts w:ascii="Times New Roman" w:hAnsi="Times New Roman" w:eastAsia="Times New Roman" w:cs="Times New Roman"/>
        </w:rPr>
        <w:t xml:space="preserve"> Adventist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ဝန်ခံခဲ့သော်လည်း</w:t>
      </w:r>
      <w:r>
        <w:rPr>
          <w:rFonts w:ascii="Times New Roman" w:hAnsi="Times New Roman" w:eastAsia="Times New Roman" w:cs="Times New Roman"/>
        </w:rPr>
        <w:t xml:space="preserve"> </w:t>
      </w:r>
      <w:r>
        <w:rPr>
          <w:rFonts w:ascii="Myanmar Text" w:hAnsi="Myanmar Text" w:eastAsia="Myanmar Text" w:cs="Myanmar Text"/>
        </w:rPr>
        <w:t>နောက်ပြန်လှည့်ကျသွားသူများဖြစ်ကြောင်း၊</w:t>
      </w:r>
      <w:r>
        <w:rPr>
          <w:rFonts w:ascii="Times New Roman" w:hAnsi="Times New Roman" w:eastAsia="Times New Roman" w:cs="Times New Roman"/>
        </w:rPr>
        <w:t xml:space="preserve"> ‘</w:t>
      </w:r>
      <w:r>
        <w:rPr>
          <w:rFonts w:ascii="Myanmar Text" w:hAnsi="Myanmar Text" w:eastAsia="Myanmar Text" w:cs="Myanmar Text"/>
        </w:rPr>
        <w:t>ဘုရားသခင်၏သားတော်ကို</w:t>
      </w:r>
      <w:r>
        <w:rPr>
          <w:rFonts w:ascii="Times New Roman" w:hAnsi="Times New Roman" w:eastAsia="Times New Roman" w:cs="Times New Roman"/>
        </w:rPr>
        <w:t xml:space="preserve"> </w:t>
      </w:r>
      <w:r>
        <w:rPr>
          <w:rFonts w:ascii="Myanmar Text" w:hAnsi="Myanmar Text" w:eastAsia="Myanmar Text" w:cs="Myanmar Text"/>
        </w:rPr>
        <w:t>မိမိတို့အတွက်</w:t>
      </w:r>
      <w:r>
        <w:rPr>
          <w:rFonts w:ascii="Times New Roman" w:hAnsi="Times New Roman" w:eastAsia="Times New Roman" w:cs="Times New Roman"/>
        </w:rPr>
        <w:t xml:space="preserve"> </w:t>
      </w:r>
      <w:r>
        <w:rPr>
          <w:rFonts w:ascii="Myanmar Text" w:hAnsi="Myanmar Text" w:eastAsia="Myanmar Text" w:cs="Myanmar Text"/>
        </w:rPr>
        <w:t>တစ်ဖန်</w:t>
      </w:r>
      <w:r>
        <w:rPr>
          <w:rFonts w:ascii="Times New Roman" w:hAnsi="Times New Roman" w:eastAsia="Times New Roman" w:cs="Times New Roman"/>
        </w:rPr>
        <w:t xml:space="preserve"> </w:t>
      </w:r>
      <w:r>
        <w:rPr>
          <w:rFonts w:ascii="Myanmar Text" w:hAnsi="Myanmar Text" w:eastAsia="Myanmar Text" w:cs="Myanmar Text"/>
        </w:rPr>
        <w:t>လက်ဝါးကပ်တိုင်ပေါ်သို့</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ထင်ရှားစွာ</w:t>
      </w:r>
      <w:r>
        <w:rPr>
          <w:rFonts w:ascii="Times New Roman" w:hAnsi="Times New Roman" w:eastAsia="Times New Roman" w:cs="Times New Roman"/>
        </w:rPr>
        <w:t xml:space="preserve"> </w:t>
      </w:r>
      <w:r>
        <w:rPr>
          <w:rFonts w:ascii="Myanmar Text" w:hAnsi="Myanmar Text" w:eastAsia="Myanmar Text" w:cs="Myanmar Text"/>
        </w:rPr>
        <w:t>အရှက်ကွဲစေကြ</w:t>
      </w:r>
      <w:r>
        <w:rPr>
          <w:rFonts w:ascii="Times New Roman" w:hAnsi="Times New Roman" w:eastAsia="Times New Roman" w:cs="Times New Roman"/>
        </w:rPr>
        <w:t xml:space="preserve">’ </w:t>
      </w:r>
      <w:r>
        <w:rPr>
          <w:rFonts w:ascii="Myanmar Text" w:hAnsi="Myanmar Text" w:eastAsia="Myanmar Text" w:cs="Myanmar Text"/>
        </w:rPr>
        <w:t>သောသူများဖြစ်ကြောင်း</w:t>
      </w:r>
      <w:r>
        <w:rPr>
          <w:rFonts w:ascii="Times New Roman" w:hAnsi="Times New Roman" w:eastAsia="Times New Roman" w:cs="Times New Roman"/>
        </w:rPr>
        <w:t xml:space="preserve"> </w:t>
      </w:r>
      <w:r>
        <w:rPr>
          <w:rFonts w:ascii="Myanmar Text" w:hAnsi="Myanmar Text" w:eastAsia="Myanmar Text" w:cs="Myanmar Text"/>
        </w:rPr>
        <w:t>ငါ့အား</w:t>
      </w:r>
      <w:r>
        <w:rPr>
          <w:rFonts w:ascii="Times New Roman" w:hAnsi="Times New Roman" w:eastAsia="Times New Roman" w:cs="Times New Roman"/>
        </w:rPr>
        <w:t xml:space="preserve"> </w:t>
      </w:r>
      <w:r>
        <w:rPr>
          <w:rFonts w:ascii="Myanmar Text" w:hAnsi="Myanmar Text" w:eastAsia="Myanmar Text" w:cs="Myanmar Text"/>
        </w:rPr>
        <w:t>ပြတော်မူ၏။</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လူတိုင်း၏</w:t>
      </w:r>
      <w:r>
        <w:rPr>
          <w:rFonts w:ascii="Times New Roman" w:hAnsi="Times New Roman" w:eastAsia="Times New Roman" w:cs="Times New Roman"/>
        </w:rPr>
        <w:t xml:space="preserve"> </w:t>
      </w:r>
      <w:r>
        <w:rPr>
          <w:rFonts w:ascii="Myanmar Text" w:hAnsi="Myanmar Text" w:eastAsia="Myanmar Text" w:cs="Myanmar Text"/>
        </w:rPr>
        <w:t>အမှန်တကယ်သော</w:t>
      </w:r>
      <w:r>
        <w:rPr>
          <w:rFonts w:ascii="Times New Roman" w:hAnsi="Times New Roman" w:eastAsia="Times New Roman" w:cs="Times New Roman"/>
        </w:rPr>
        <w:t xml:space="preserve"> </w:t>
      </w:r>
      <w:r>
        <w:rPr>
          <w:rFonts w:ascii="Myanmar Text" w:hAnsi="Myanmar Text" w:eastAsia="Myanmar Text" w:cs="Myanmar Text"/>
        </w:rPr>
        <w:t>အကျင့်စရိုက်ကို</w:t>
      </w:r>
      <w:r>
        <w:rPr>
          <w:rFonts w:ascii="Times New Roman" w:hAnsi="Times New Roman" w:eastAsia="Times New Roman" w:cs="Times New Roman"/>
        </w:rPr>
        <w:t xml:space="preserve"> </w:t>
      </w:r>
      <w:r>
        <w:rPr>
          <w:rFonts w:ascii="Myanmar Text" w:hAnsi="Myanmar Text" w:eastAsia="Myanmar Text" w:cs="Myanmar Text"/>
        </w:rPr>
        <w:t>ဖော်ထုတ်ပြသရန်</w:t>
      </w:r>
      <w:r>
        <w:rPr>
          <w:rFonts w:ascii="Times New Roman" w:hAnsi="Times New Roman" w:eastAsia="Times New Roman" w:cs="Times New Roman"/>
        </w:rPr>
        <w:t xml:space="preserve"> </w:t>
      </w:r>
      <w:r>
        <w:rPr>
          <w:rFonts w:ascii="Myanmar Text" w:hAnsi="Myanmar Text" w:eastAsia="Myanmar Text" w:cs="Myanmar Text"/>
        </w:rPr>
        <w:t>နောင်တွင်</w:t>
      </w:r>
      <w:r>
        <w:rPr>
          <w:rFonts w:ascii="Times New Roman" w:hAnsi="Times New Roman" w:eastAsia="Times New Roman" w:cs="Times New Roman"/>
        </w:rPr>
        <w:t xml:space="preserve"> </w:t>
      </w:r>
      <w:r>
        <w:rPr>
          <w:rFonts w:ascii="Myanmar Text" w:hAnsi="Myanmar Text" w:eastAsia="Myanmar Text" w:cs="Myanmar Text"/>
        </w:rPr>
        <w:t>ရောက်လာမည့်</w:t>
      </w:r>
      <w:r>
        <w:rPr>
          <w:rFonts w:ascii="Times New Roman" w:hAnsi="Times New Roman" w:eastAsia="Times New Roman" w:cs="Times New Roman"/>
        </w:rPr>
        <w:t xml:space="preserve"> ‘</w:t>
      </w:r>
      <w:r>
        <w:rPr>
          <w:rFonts w:ascii="Myanmar Text" w:hAnsi="Myanmar Text" w:eastAsia="Myanmar Text" w:cs="Myanmar Text"/>
        </w:rPr>
        <w:t>စမ်းသပ်ခြင်း၏</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အစဉ်အမြဲ</w:t>
      </w:r>
      <w:r>
        <w:rPr>
          <w:rFonts w:ascii="Times New Roman" w:hAnsi="Times New Roman" w:eastAsia="Times New Roman" w:cs="Times New Roman"/>
        </w:rPr>
        <w:t xml:space="preserve"> </w:t>
      </w:r>
      <w:r>
        <w:rPr>
          <w:rFonts w:ascii="Myanmar Text" w:hAnsi="Myanmar Text" w:eastAsia="Myanmar Text" w:cs="Myanmar Text"/>
        </w:rPr>
        <w:t>ပျောက်ဆုံးသွားပြီဖြစ်ကြောင်း</w:t>
      </w:r>
      <w:r>
        <w:rPr>
          <w:rFonts w:ascii="Times New Roman" w:hAnsi="Times New Roman" w:eastAsia="Times New Roman" w:cs="Times New Roman"/>
        </w:rPr>
        <w:t xml:space="preserve"> </w:t>
      </w:r>
      <w:r>
        <w:rPr>
          <w:rFonts w:ascii="Myanmar Text" w:hAnsi="Myanmar Text" w:eastAsia="Myanmar Text" w:cs="Myanmar Text"/>
        </w:rPr>
        <w:t>သိကြလိမ့်မည်။</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စိတ်ဝိညာဉ်၏</w:t>
      </w:r>
      <w:r>
        <w:rPr>
          <w:rFonts w:ascii="Times New Roman" w:hAnsi="Times New Roman" w:eastAsia="Times New Roman" w:cs="Times New Roman"/>
        </w:rPr>
        <w:t xml:space="preserve"> </w:t>
      </w:r>
      <w:r>
        <w:rPr>
          <w:rFonts w:ascii="Myanmar Text" w:hAnsi="Myanmar Text" w:eastAsia="Myanmar Text" w:cs="Myanmar Text"/>
        </w:rPr>
        <w:t>ပြင်းထန်သော</w:t>
      </w:r>
      <w:r>
        <w:rPr>
          <w:rFonts w:ascii="Times New Roman" w:hAnsi="Times New Roman" w:eastAsia="Times New Roman" w:cs="Times New Roman"/>
        </w:rPr>
        <w:t xml:space="preserve"> </w:t>
      </w:r>
      <w:r>
        <w:rPr>
          <w:rFonts w:ascii="Myanmar Text" w:hAnsi="Myanmar Text" w:eastAsia="Myanmar Text" w:cs="Myanmar Text"/>
        </w:rPr>
        <w:t>ဝေဒနာဖြင့်</w:t>
      </w:r>
      <w:r>
        <w:rPr>
          <w:rFonts w:ascii="Times New Roman" w:hAnsi="Times New Roman" w:eastAsia="Times New Roman" w:cs="Times New Roman"/>
        </w:rPr>
        <w:t xml:space="preserve"> </w:t>
      </w:r>
      <w:r>
        <w:rPr>
          <w:rFonts w:ascii="Myanmar Text" w:hAnsi="Myanmar Text" w:eastAsia="Myanmar Text" w:cs="Myanmar Text"/>
        </w:rPr>
        <w:t>လွှမ်းမိုးခံရလျက်၊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သန့်ရှင်းသူတို့၏</w:t>
      </w:r>
      <w:r>
        <w:rPr>
          <w:rFonts w:ascii="Times New Roman" w:hAnsi="Times New Roman" w:eastAsia="Times New Roman" w:cs="Times New Roman"/>
        </w:rPr>
        <w:t xml:space="preserve"> </w:t>
      </w:r>
      <w:r>
        <w:rPr>
          <w:rFonts w:ascii="Myanmar Text" w:hAnsi="Myanmar Text" w:eastAsia="Myanmar Text" w:cs="Myanmar Text"/>
        </w:rPr>
        <w:t>ခြေတော်ရှေ့၌</w:t>
      </w:r>
      <w:r>
        <w:rPr>
          <w:rFonts w:ascii="Times New Roman" w:hAnsi="Times New Roman" w:eastAsia="Times New Roman" w:cs="Times New Roman"/>
        </w:rPr>
        <w:t xml:space="preserve"> </w:t>
      </w:r>
      <w:r>
        <w:rPr>
          <w:rFonts w:ascii="Myanmar Text" w:hAnsi="Myanmar Text" w:eastAsia="Myanmar Text" w:cs="Myanmar Text"/>
        </w:rPr>
        <w:t>ဦးညွှတ်ကြလိမ့်မည်။</w:t>
      </w:r>
      <w:r>
        <w:rPr>
          <w:rFonts w:ascii="Times New Roman" w:hAnsi="Times New Roman" w:eastAsia="Times New Roman" w:cs="Times New Roman"/>
        </w:rPr>
        <w:t>” Word to the Little Flock, 12.</w:t>
      </w:r>
    </w:p>
    <w:p>
      <w:pPr>
        <w:pStyle w:val="ArticleBody"/>
        <w:jc w:val="left"/>
      </w:pPr>
      <w:r>
        <w:rPr>
          <w:rFonts w:ascii="Times New Roman" w:hAnsi="Times New Roman" w:eastAsia="Times New Roman" w:cs="Times New Roman"/>
        </w:rPr>
        <w:t>Dalam Yesaya pasal lima, nyanyian tentang kebun anggur, yang kemudiannya digunakan oleh Kristus, disebut buat pertama kalinya.</w:t>
      </w:r>
    </w:p>
    <w:p>
      <w:pPr>
        <w:pStyle w:val="ArticleScripture"/>
        <w:jc w:val="left"/>
      </w:pPr>
      <w:r>
        <w:rPr>
          <w:rFonts w:ascii="Times New Roman" w:hAnsi="Times New Roman" w:eastAsia="Times New Roman" w:cs="Times New Roman"/>
        </w:rPr>
        <w:t>A san, sing na megi gipin ka∙saraangna angni ka∙saa gitalni git, uni drakbima bidingo. Angni ka∙saa gitalni drakbima gnang salbatsranggipa a∙brio; aro ua uko sambae, uni rongrangko ra∙galaha, aro uko pilakkon cholgipin drakchi dongataha, aro uni gisepo watch-tower ko rikaha, aro uano drak-rongni nokkoba tariaha; aro ua uko drak biteko ong∙atgen ine nichaka, indiba ua wild grapes ong∙ataha. Daode, O Jerusalemni songdigrang, aro Judahni manderang, anga aro angni drakbimani gisepo bichal ka∙bo, anga mol∙molenga. Angni drakbimana iako agre maiko dakna man∙genchim, je iako anga uano dakjachim? Maina, anga uko drak biteko ong∙atgen ine nichakoba, ua wild grapes ong∙ataha? Isaiah 5:1–4.</w:t>
      </w:r>
    </w:p>
    <w:p>
      <w:pPr>
        <w:pStyle w:val="ArticleBody"/>
        <w:jc w:val="left"/>
      </w:pPr>
      <w:r>
        <w:rPr>
          <w:rFonts w:ascii="Times New Roman" w:hAnsi="Times New Roman" w:eastAsia="Times New Roman" w:cs="Times New Roman"/>
        </w:rPr>
        <w:t>Perumpamaan itu, sama ada dalam Perjanjian Lama mahupun Perjanjian Baru, mengenal pasti gereja Tuhan sebagai ditolak oleh Tuhan kerana enggan menghasilkan buah yang untuknya mereka dibangkitkan. Dalam Yesaya lima, pada penutup perumpamaan itu, hukuman ke atas kebun anggur itu dinyatakan, sambil pada masa yang sama menjanjikan untuk mengangkat suatu panji kepada bangsa-bangsa. Jelaslah bahawa kebun anggur itu bukanlah panji itu.</w:t>
      </w:r>
    </w:p>
    <w:p>
      <w:pPr>
        <w:pStyle w:val="ArticleScripture"/>
        <w:jc w:val="left"/>
      </w:pPr>
      <w:r>
        <w:rPr>
          <w:rFonts w:ascii="Times New Roman" w:hAnsi="Times New Roman" w:eastAsia="Times New Roman" w:cs="Times New Roman"/>
        </w:rPr>
        <w:t>Nokuphela ulaka lweNkosi luvuthele abantu bayo, yelula isandla sayo phezu kwabo, yababetha; iinduli zangcangcazela, nezidumbu zabo zakrazulwa phakathi kwezitrato. Nangako konke oku, ulaka lwayo alujikanga, kodwa isandla sayo sisoluliwe. Kanjalo iya kuphakamisela iintlanga ezikude umqondiso, ize izibize ngempempe zisuka esiphelweni sehlabathi; yaye, yabona, ziya kuza ngokukhawuleza, zingalibali. Isaya 5:25, 26.</w:t>
      </w:r>
    </w:p>
    <w:p>
      <w:pPr>
        <w:pStyle w:val="ArticleBody"/>
        <w:jc w:val="left"/>
      </w:pPr>
      <w:r>
        <w:rPr>
          <w:rFonts w:ascii="Times New Roman" w:hAnsi="Times New Roman" w:eastAsia="Times New Roman" w:cs="Times New Roman"/>
        </w:rPr>
        <w:t>Yesu okae ten song no sɛ bɛ, ne awieeɛ nso yɛɛ de kyerɛkyerɛ no yie paa.</w:t>
      </w:r>
    </w:p>
    <w:p>
      <w:pPr>
        <w:pStyle w:val="ArticleScripture"/>
        <w:jc w:val="left"/>
      </w:pPr>
      <w:r>
        <w:rPr>
          <w:rFonts w:ascii="Times New Roman" w:hAnsi="Times New Roman" w:eastAsia="Times New Roman" w:cs="Times New Roman"/>
        </w:rPr>
        <w:t>“Tashitani umu mabulula: Pakuyavapo umuntu umwina-ng’anda, uyo anakhoma munda wa mpesya, nauzingilizga na mpanda kuzingilira monse, nakukumba mu uwo chakukamila vinyo, nakuzenga cigongwe, ndipo naupereka ku ŵalimigulila, ndipo wakaluta ku caru ca kutali. Ndipo nyengo ya vipasi yikati yasendelera, wakatuma ŵateŵeti ŵake ku ŵalimigulila, kuti ŵakapokere vipasi vyake. Kweni ŵalimigulila ŵakatora ŵateŵeti ŵake, ndipo ŵakamutimba yumoza, ŵakakoma munyake, ndipo ŵakamuponya malibwe munyake. Kachiwiri wakatuma ŵateŵeti ŵanyake, ŵanandi kuluska ŵakwamba; ndipo ŵakacita nawo mwakuyana. Kweni paumaliro wa vyose wakatuma kwa iwo Mwana wake, wakuti, Ŵamucindikirenge Mwana wane. Kweni ŵalimigulila ŵati ŵamuwona Mwana, ŵakayowoyeskana ŵekha na ŵekha, kuti, Uyu ndiyo muhaliri; tiyeni, timukome, ndipo tipoke ciharo cake. Ndipo ŵakamukora, ŵakamuponya kuwaro kwa munda wa mpesya, ndipo ŵakamukoma. Ntheura para fumu ya munda wa mpesya yikwiza, yicitengeci kwa ŵalimigulila ŵara?” Iwo ŵakati kwa Iyo, “Waŵaparanyenge mwaukali ŵanthu ŵaheni ŵara, ndipo waperekenge munda wake wa mpesya ku ŵalimigulila ŵanyake, awo ŵazamkumupanga vipasi mu nyengo zake.” Yesu ŵakati kwa iwo, “Kasi mundawerengepo cara mu Malemba, ‘Libwe ilo ŵakuzenga ŵakalikana, ndilo lasanduka mutu wa pa ngodya: ici cacitika na Yehova, ndipo nchakuziziswa mu maso ghithu’? Ntheura nkhumuphalirani imwe, Ufumu wa Ciuta uzamkupokeka kwa imwe, ndipo uzamkupika ku mtundu uwo ukubala vipasi vyake. Ndipo waliyose uyo wawira pa libwe ili wazamkuphwasuka; kweni pa waliyose uyo lizamumuwirapo, lizamkumuphwanya kukhala fuvu.” Ndipo ŵakuru ŵa ŵasofi na Ŵafarisi ŵati ŵapulika ntharika zake, ŵakamanya kuti wakayowoyanga za iwo. Mateyu 21:33–45.</w:t>
      </w:r>
    </w:p>
    <w:p>
      <w:pPr>
        <w:pStyle w:val="ArticleBody"/>
        <w:jc w:val="left"/>
      </w:pPr>
      <w:r>
        <w:rPr>
          <w:rFonts w:ascii="Times New Roman" w:hAnsi="Times New Roman" w:eastAsia="Times New Roman" w:cs="Times New Roman"/>
        </w:rPr>
        <w:t>Гэрчлэлийн Долоо дахь өдрийн Адвентист сүм нь өргөгдөн мандуулсан туг тэмдэг биш юм. Эртний Израилаар бэлгэдэгдсэн эцсийн өдрүүдийн усан үзмийн талбай нь Гэрчлэлийн Долоо дахь өдрийн Адвентист сүм мөн боловч, анхны үр жимс хэмээн тооцогдох үр жимсийг гарган авчрах нэгэн үндэстэн байх болно; тэр нь нэг зуун дөчин дөрвөн мянга юм.</w:t>
      </w:r>
    </w:p>
    <w:p>
      <w:pPr>
        <w:pStyle w:val="ArticleScripture"/>
        <w:jc w:val="left"/>
      </w:pPr>
      <w:r>
        <w:rPr>
          <w:rFonts w:ascii="Times New Roman" w:hAnsi="Times New Roman" w:eastAsia="Times New Roman" w:cs="Times New Roman"/>
        </w:rPr>
        <w:t>Mereka inilah orang-orang yang tidak menajiskan diri dengan perempuan-perempuan; kerana mereka adalah perawan. Mereka inilah yang mengikuti Anak Domba itu ke mana sahaja Ia pergi. Mereka ini telah ditebus dari antara manusia, sebagai buah sulung bagi Allah dan bagi Anak Domba itu. Wahyu 14:4.</w:t>
      </w:r>
    </w:p>
    <w:p>
      <w:pPr>
        <w:pStyle w:val="ArticleBody"/>
        <w:jc w:val="left"/>
      </w:pPr>
      <w:r>
        <w:rPr>
          <w:rFonts w:ascii="Times New Roman" w:hAnsi="Times New Roman" w:eastAsia="Times New Roman" w:cs="Times New Roman"/>
        </w:rPr>
        <w:t>Sebagai suatu panji, mereka akan dipergunakan oleh Tuan Rumah untuk mengumpulkan tuaian yang terakhir. Gereja Masehi Advent Hari Ketujuh Laodikia adalah kebun anggur yang menolak batu penjuru dasar dari tujuh masa Musa. Sejak saat itu terjadilah kemerosotan yang progresif ke dalam kegelapan yang semakin besar. Panji itu akan menjadi “suatu tunas akar Isai.” Akar Isai, atau Daud, melambangkan kebenaran yang paling akhir yang Yesus sampaikan kepada orang-orang Yahudi yang suka berbantah pada zaman sejarah-Nya. Ini adalah lambang dari prinsip Alfa dan Omega, yang ditolak untuk dipahami oleh para penggarap kebun anggur yang tidak setia, baik dari Israel purba maupun modern.</w:t>
      </w:r>
    </w:p>
    <w:p>
      <w:pPr>
        <w:pStyle w:val="ArticleScripture"/>
        <w:jc w:val="left"/>
      </w:pPr>
      <w:r>
        <w:rPr>
          <w:rFonts w:ascii="Times New Roman" w:hAnsi="Times New Roman" w:eastAsia="Times New Roman" w:cs="Times New Roman"/>
        </w:rPr>
        <w:t>“Go tla diragala gore mo letsatsing leo go nne le modu wa ga Jese, o o tla emang e le folaga ya merafe; Baditšhaba ba tla o batla; mme boikhutso jwa gagwe bo tla nna jo bo galalelang.” Isaia 11:10.</w:t>
      </w:r>
    </w:p>
    <w:p>
      <w:pPr>
        <w:pStyle w:val="ArticleBody"/>
        <w:jc w:val="left"/>
      </w:pPr>
      <w:r>
        <w:rPr>
          <w:rFonts w:ascii="Times New Roman" w:hAnsi="Times New Roman" w:eastAsia="Times New Roman" w:cs="Times New Roman"/>
        </w:rPr>
        <w:t>Sister White dan James White dengan jelas mengenal pasti bahawa menjelang tahun 1856 pergerakan itu telah menjadi Laodikia; maka bilakah dia mengenal pasti bahawa pergerakan itu pernah menerima pekabaran kepada jemaat Laodikia? Dia tidak pernah berbuat demikian. Kesilapan pertama kita ialah menerima dakwaan bahawa gereja Seventh-day Adventist telah menjadi gereja yang menang sepanjang perjalanan sejarahnya. Hakikatnya adalah sebaliknya. Jika kita menerima premis pertama yang silap itu, mata kita tertutup terhadap fakta-fakta nubuatan yang mengajarkan sebaliknya. Sebagai contoh, Sister White berulang kali mengenal pasti bahawa sejarah Israel purba yang harfiah menggambarkan pengalaman dan sejarah Israel rohani moden. Sering kali apabila dia merujuk kepada Israel purba sebagai teladan bagi Israel moden, dia pada masa yang sama mengutip pernyataan klasik rasul Paulus tentang hakikat yang sama.</w:t>
      </w:r>
    </w:p>
    <w:p>
      <w:pPr>
        <w:pStyle w:val="ArticleScripture"/>
        <w:jc w:val="left"/>
      </w:pPr>
      <w:r>
        <w:rPr>
          <w:rFonts w:ascii="Times New Roman" w:hAnsi="Times New Roman" w:eastAsia="Times New Roman" w:cs="Times New Roman"/>
        </w:rPr>
        <w:t>Bjale dilo tšohle di ile tša ba hlagela e le mehlala; gomme di ngwadilwe gore e be temošo go rena, bao bofelo bja mehla bo tlilego godimo ga bona. 1 Bakorinthe 10:11.</w:t>
      </w:r>
    </w:p>
    <w:p>
      <w:pPr>
        <w:pStyle w:val="ArticleBody"/>
        <w:jc w:val="left"/>
      </w:pPr>
      <w:r>
        <w:rPr>
          <w:rFonts w:ascii="Times New Roman" w:hAnsi="Times New Roman" w:eastAsia="Times New Roman" w:cs="Times New Roman"/>
        </w:rPr>
        <w:t>Rasul Paulus dalam ayat sebelas sedang merumuskan sepuluh ayat sebelumnya.</w:t>
      </w:r>
    </w:p>
    <w:p>
      <w:pPr>
        <w:pStyle w:val="ArticleScripture"/>
        <w:jc w:val="left"/>
      </w:pPr>
      <w:r>
        <w:rPr>
          <w:rFonts w:ascii="Times New Roman" w:hAnsi="Times New Roman" w:eastAsia="Times New Roman" w:cs="Times New Roman"/>
        </w:rPr>
        <w:t>Lagipula, saudara-saudara, aku tidak mahu kamu tidak mengetahui bahawa nenek moyang kita semuanya berada di bawah awan, dan semuanya telah menyeberangi laut; dan semuanya telah dibaptiskan kepada Musa dalam awan dan dalam laut; dan semuanya telah makan makanan rohani yang sama; dan semuanya telah minum minuman rohani yang sama; kerana mereka minum daripada Gunung Batu rohani yang mengikuti mereka; dan Gunung Batu itu ialah Kristus. Tetapi terhadap kebanyakan mereka Allah tidak berkenan; kerana mereka telah ditewaskan di padang gurun. Maka perkara-perkara ini menjadi teladan bagi kita, supaya kita jangan mengingini perkara-perkara yang jahat, sebagaimana mereka juga telah mengingininya. Janganlah juga kamu menjadi penyembah berhala, seperti beberapa orang daripada mereka; seperti ada tertulis, Bangsa itu duduk makan dan minum, lalu bangun untuk bersukaria. Janganlah juga kita melakukan percabulan, seperti beberapa orang daripada mereka telah melakukannya, lalu dalam satu hari dua puluh tiga ribu orang rebah. Janganlah juga kita mencobai Kristus, seperti beberapa orang daripada mereka juga telah mencobai-Nya, lalu dibinasakan oleh ular-ular. Dan janganlah kamu bersungut-sungut, seperti beberapa orang daripada mereka juga telah bersungut-sungut, lalu dibinasakan oleh pembinasa itu. 1 Korintus 10:1–10.</w:t>
      </w:r>
    </w:p>
    <w:p>
      <w:pPr>
        <w:pStyle w:val="ArticleBody"/>
        <w:jc w:val="left"/>
      </w:pPr>
      <w:r>
        <w:rPr>
          <w:rFonts w:ascii="Times New Roman" w:hAnsi="Times New Roman" w:eastAsia="Times New Roman" w:cs="Times New Roman"/>
        </w:rPr>
        <w:t>Paul enggau Menua White enda ukai ngena Israel kelia nyadi chunto bansa ke menang enggau lurus. Enda pia, tang. Paul ngumpulka reti sepuluh ayat ti keterubah nya dalam ayat sebelas, lalu dalam ayat ti nyadi udah nya iya madahka pelajar ti deka ditepuka sejarah Israel kelia ngagai sida ke deka meda.</w:t>
      </w:r>
    </w:p>
    <w:p>
      <w:pPr>
        <w:pStyle w:val="ArticleScripture"/>
        <w:jc w:val="left"/>
      </w:pPr>
      <w:r>
        <w:rPr>
          <w:rFonts w:ascii="Times New Roman" w:hAnsi="Times New Roman" w:eastAsia="Times New Roman" w:cs="Times New Roman"/>
        </w:rPr>
        <w:t>Sebab itu hendaklah orang yang menyangka bahwa ia teguh berdiri, waspada supaya ia jangan jatuh. 1 Korintus 10:12.</w:t>
      </w:r>
    </w:p>
    <w:p>
      <w:pPr>
        <w:pStyle w:val="ArticleBody"/>
        <w:jc w:val="left"/>
      </w:pPr>
      <w:r>
        <w:rPr>
          <w:rFonts w:ascii="Times New Roman" w:hAnsi="Times New Roman" w:eastAsia="Times New Roman" w:cs="Times New Roman"/>
        </w:rPr>
        <w:t>Israel purba menjadi contoh suatu umat yang dipanggil oleh Tuhan, dipimpin oleh Tuhan, menggenapi nubuatan-nubuatan Tuhan, namun memberontak terhadap Tuhan pada setiap langkah, dan pada akhirnya menyalibkan Pencipta langit dan bumi! Kaum Advent tidak mengalami kesukaran untuk mengakui fakta-fakta ini tentang Israel purba, tetapi jarang sekali mereka membiarkan amaran yang dimaksudkan itu menembusi kebutaan Laodikia mereka. Mereka mungkin mengutip petikan-petikan di mana Sister White mengenal pasti gereja sebagai biji mata Tuhan, dan memang demikian, tetapi kasih Tuhan terhadap umat-Nya tidak menyelubungi keadaan sebenar mereka. Mereka yang dikasihi-Nya ditegur dan dihajar-Nya. Sejauh mana gereja Tuhan ialah biji mata Tuhan, Yesus dengan amat jelas merumuskan hubungan-Nya dengan biji mata itu, biji mata-Nya.</w:t>
      </w:r>
    </w:p>
    <w:p>
      <w:pPr>
        <w:pStyle w:val="ArticleScripture"/>
        <w:jc w:val="left"/>
      </w:pPr>
      <w:r>
        <w:rPr>
          <w:rFonts w:ascii="Times New Roman" w:hAnsi="Times New Roman" w:eastAsia="Times New Roman" w:cs="Times New Roman"/>
        </w:rPr>
        <w:t>E Jerusalem, Jerusalem, som dræber profeterne og stener dem, som er sendt til dig; hvor ofte ville jeg ikke have samlet dine børn, som en høne samler sit kuld under sine vinger, men I ville ikke! Se, jeres hus bliver efterladt til jer øde; og sandelig siger jeg jer: I skal ikke se mig, før den tid kommer, da I skal sige: Velsignet være han, som kommer i Herrens navn. Luk. 13:34, 35.</w:t>
      </w:r>
    </w:p>
    <w:p>
      <w:pPr>
        <w:pStyle w:val="ArticleBody"/>
        <w:jc w:val="left"/>
      </w:pPr>
      <w:r>
        <w:rPr>
          <w:rFonts w:ascii="Times New Roman" w:hAnsi="Times New Roman" w:eastAsia="Times New Roman" w:cs="Times New Roman"/>
        </w:rPr>
        <w:t>Lipotso li tshwanetse go bodiwa, “A Jesu ruri o bontsha bokhutlo ka tshimologo? A Iseraele wa bogologolo ruri o bontsha Iseraele wa segompieno?” Bothata jwa Iseraele wa bogologolo mo hisitoring yotlhe ya bona e ne e le gore ba ne ba dumela gore boswa jwa bona bo supa fa e le batho ba Modimo, mme ka jalo gore ba ka se nne sengwe se sele fa e se batho ba Modimo. Ke ka moo mo metlheng ya ga Jeremia ba neng ba ipolela gore ke tempele ya Morena.</w:t>
      </w:r>
    </w:p>
    <w:p>
      <w:pPr>
        <w:pStyle w:val="ArticleScripture"/>
        <w:jc w:val="left"/>
      </w:pPr>
      <w:r>
        <w:rPr>
          <w:rFonts w:ascii="Times New Roman" w:hAnsi="Times New Roman" w:eastAsia="Times New Roman" w:cs="Times New Roman"/>
        </w:rPr>
        <w:t>Lefoko le le tlileng kwa go Jeremia le tswa mo go Morena, le re: Ema mo kgorong ya ntlo ya Morena, o bo o itsise lefoko le moo, o re: Utlwang lefoko la Morena, lona lotlhe ba Juda, ba ba tsenang ka dikgoro tse go obamela Morena. Morena wa masomosomo, Modimo wa Iseraele, o bua jaana a re: Siamisang ditsela tsa lona le ditiro tsa lona, mme ke tla dira gore lo nne mo lefelong le. Lo se ka lwa ikanya mafoko a maaka, lo re: Tempele ya Morena, Tempele ya Morena, Tempele ya Morena, ke tseno. Jeremia 7:1–4.</w:t>
      </w:r>
    </w:p>
    <w:p>
      <w:pPr>
        <w:pStyle w:val="ArticleBody"/>
        <w:jc w:val="left"/>
      </w:pPr>
      <w:r>
        <w:rPr>
          <w:rFonts w:ascii="Times New Roman" w:hAnsi="Times New Roman" w:eastAsia="Times New Roman" w:cs="Times New Roman"/>
        </w:rPr>
        <w:t>Kilesi le leng leo le ile la gatelelwa gape ke Johane Mokolobetsi.</w:t>
      </w:r>
    </w:p>
    <w:p>
      <w:pPr>
        <w:pStyle w:val="ArticleScripture"/>
        <w:jc w:val="left"/>
      </w:pPr>
      <w:r>
        <w:rPr>
          <w:rFonts w:ascii="Times New Roman" w:hAnsi="Times New Roman" w:eastAsia="Times New Roman" w:cs="Times New Roman"/>
        </w:rPr>
        <w:t>nang la inphumna baptis ka neih a ni a, an sual an puang chhuakin. Mahse, Pharisee leh Sadducee tam tak an baptisma chantîr tûra an lo kal a hmuhin, an hnênah, “Rûl fa chi hrang, lo kal mêk thinrimna atânga tlân chhuak tûrin tu nge in rawn vauh? Chutiang chuan, simnaa tlâk rahte chu chhuah rawh u. In thinlungah, ‘Kan pa chu Abraham a ni,’ tiin ngaihtuah suh u: ka hrilh che u, Pathianin hêng lungte ata hian Abraham tana fate a kai chhuah thei a ni. Tûnah hian hriam chu thingkungte zungah chuan nghat tawh a ni: chutichuan, thingkung rah ṭha chhuah lo zêl apiang chu an tân thlahin meiah paih luh a ni ang,” a ti. Matthew 3:6–10.</w:t>
      </w:r>
    </w:p>
    <w:p>
      <w:pPr>
        <w:pStyle w:val="ArticleBody"/>
        <w:jc w:val="left"/>
      </w:pPr>
      <w:r>
        <w:rPr>
          <w:rFonts w:ascii="Times New Roman" w:hAnsi="Times New Roman" w:eastAsia="Times New Roman" w:cs="Times New Roman"/>
        </w:rPr>
        <w:t>Pengertian yang sesat yang sama dalam Adventisme yang dilambangkan oleh ungkapan “Bait Tuhan, kamilah itu,” dan bahwa kita ialah “benih” rohani Abraham, merupakan perwujudan utama kebutaan Laodikia.</w:t>
      </w:r>
    </w:p>
    <w:p>
      <w:pPr>
        <w:pStyle w:val="ArticleScripture"/>
        <w:jc w:val="left"/>
      </w:pPr>
      <w:r>
        <w:rPr>
          <w:rFonts w:ascii="Times New Roman" w:hAnsi="Times New Roman" w:eastAsia="Times New Roman" w:cs="Times New Roman"/>
        </w:rPr>
        <w:t>“Modimo o roma barongwa go bolelela batho ba Gagwe se ba tshwanetseng go nna sone le go se dira gore ba tle ba obamele melao ya Gagwe ya tshiamo, e fa motho a e dira, o tla tshela gape mo go yone. Ba tshwanetse go rata Modimo bogolo thata, ba se na medimo e mengwe fa pele ga Gagwe; gape ba tshwanetse go rata moagelani wa bone jaaka ba ithata, ba mo direla jaaka ba ka eletsa gore ene a ba direle.”</w:t>
      </w:r>
    </w:p>
    <w:p>
      <w:pPr>
        <w:pStyle w:val="ArticleScripture"/>
        <w:jc w:val="left"/>
      </w:pPr>
      <w:r>
        <w:rPr>
          <w:rFonts w:ascii="Times New Roman" w:hAnsi="Times New Roman" w:eastAsia="Times New Roman" w:cs="Times New Roman"/>
        </w:rPr>
        <w:t>“Ndíítáhí át’éego Díí Diyin Bik’ehgo Hózhóójí nitsáhákeesígíí t’ááłá’í t’óó ajiłii’ doo bee áná’áhoot’éego da. Áádóó da’iináaniiígíí ‘Háádishą́ą́’ hodíílnihgo Jóhonaa’éí hane’ígíí biniiyégo yáhoot’ééł, t’áá hwo’ ajít’éego ch’iyáán bik’ehgo naashá, Diyiin Bich’į’ yáhoot’ééł, dóó Biyázhí Át’éii bich’į’ doo hodíílnihígíí bee bił dah naashá. Bíigha nitsáhákeesígíí t’áá ajiłii’ bee hane’í baa hólǫ́ǫgo, t’áá íiyisí yee hadííłnííł, ‘Shinálí Ashkii Bighan, Shinálí Ashkii Bighan nihił yáhoot’ééł,’ nihił hadííłnííł, t’áá nihá nitsáhákeesígíí bee Diyin God bił ch’į’ doo hodíílnihígíí bee biniiyé yáhoot’ééł, bizaad bich’į’ bił ahééh nitsáhákeesígíí bee doo yáhoot’éego, dóó t’áá ajiłii’ béeso naashágo éí t’áá shá hasht’e’ doo bee hodíílnihígíí bee t’áá ajiłii’ baa nitsáhákeesígíí hólǫ́ǫgo. Áí t’áá nihá áná’álwo’ígíí nitsáhákeesígíí éí Diyin God doo yee nályéego át’é. Binaanish éí doo yá’át’éeh da, dóó biyiisxǫs éí t’áá ajiłii’ t’áá ayóo ádoolnííłígíí át’é. Dóó doo hozhǫ́́ojí bee iináaniiígíí biyił naashá da bik’ehgo, doo nihíji’ nahasdzáán bik’ehgo niłch’i dooleeł da, t’áá bee hane’í yáhoot’éego doo éí bee hodíílnih da.”</w:t>
      </w:r>
    </w:p>
    <w:p>
      <w:pPr>
        <w:pStyle w:val="ArticleScripture"/>
        <w:jc w:val="left"/>
      </w:pPr>
      <w:r>
        <w:rPr>
          <w:rFonts w:ascii="Times New Roman" w:hAnsi="Times New Roman" w:eastAsia="Times New Roman" w:cs="Times New Roman"/>
        </w:rPr>
        <w:t>“Batho ba ka se bontšhe bofetoheli bo boholo ho feta ho Molimo ha ba iphapanyetsa leseli leo A ba romellang lona. Ba etsang joalo ba khelosa ba sa tsebeng, hobane ba beha matšoao a bohata a tsela. Ba lula ba sokamisa melao-motheo e hloekileng....”</w:t>
      </w:r>
    </w:p>
    <w:p>
      <w:pPr>
        <w:pStyle w:val="ArticleScripture"/>
        <w:jc w:val="left"/>
      </w:pPr>
      <w:r>
        <w:rPr>
          <w:rFonts w:ascii="Times New Roman" w:hAnsi="Times New Roman" w:eastAsia="Times New Roman" w:cs="Times New Roman"/>
        </w:rPr>
        <w:t>“Dalam firman Kitab Suci kita dengan jelas diberitahukan mengapa kebinasaan menimpa bangsa Yahudi. Mereka telah menerima terang yang besar, berkat-berkat yang limpah, dan kemakmuran yang menakjubkan. Namun mereka terbukti tidak setia terhadap kepercayaan yang dipercayakan kepada mereka. Mereka tidak dengan setia memelihara kebun anggur Tuhan, ataupun mempersembahkan kepada-Nya buah-buahnya. Mereka bertindak seolah-olah tidak ada Allah, dan karena itu malapetaka menimpa mereka.” Manuscript Releases, jilid 14, 343–345.</w:t>
      </w:r>
    </w:p>
    <w:p>
      <w:pPr>
        <w:pStyle w:val="ArticleBody"/>
        <w:jc w:val="left"/>
      </w:pPr>
      <w:r>
        <w:rPr>
          <w:rFonts w:ascii="Times New Roman" w:hAnsi="Times New Roman" w:eastAsia="Times New Roman" w:cs="Times New Roman"/>
        </w:rPr>
        <w:t>Izrayèl te kwè ke, paske Bondye te chwazi yo nan kòmansman listwa yo, yo t ap toujou rete pèp Li te chwazi a. Pi mal ankò, yo te kwè tou ke, paske yo te pèp Li te chwazi a, Li t ap onore yo, malgre lefèt ke yo te refize onore Li. Nan sans pwofetik, yo te pèp Li te chwazi a jiskaske yo te divòse, men yo pa t janm pèp Bondye te swete yo ye a. Jistis pèp yo chwazi a pa detèmine dapre kiyès yo ta ka panse yo ye. Ansyen Izrayèl se egzanp prensipal legliz Advantis Setyèm Jou a, men lè yo aksepte fo prensip ki fè konnen yo reprezante san karannkat mil yo nan fen mond lan, avègman Lawodise a vin manifeste, menm jan ak pa ansyen Izrayèl la. Advantis la kwè epi anseye ke yo se pèp rès Bondye a nan fen mond lan, malgre prèv klè ki montre kontrè a.</w:t>
      </w:r>
    </w:p>
    <w:p>
      <w:pPr>
        <w:pStyle w:val="ArticleBody"/>
        <w:jc w:val="left"/>
      </w:pPr>
      <w:r>
        <w:rPr>
          <w:rFonts w:ascii="Times New Roman" w:hAnsi="Times New Roman" w:eastAsia="Times New Roman" w:cs="Times New Roman"/>
        </w:rPr>
        <w:t>Semakin kita menghampiri penutupan masa percobaan, semakin serius dan terus teranglah pekabaran kepada umat Laodikia itu harus menjadi. Jika anggapan yang palsu itu tidak disingkirkan demi kebenaran, maka teladan Harun, Yerobeam, dan 1863 akan tersembunyi di bawah selubung tradisi dan kebiasaan. Sudah terlalu dekat kepada penutupan masa percobaan untuk terus bersembunyi di bawah selubung itu lebih lama lagi.</w:t>
      </w:r>
    </w:p>
    <w:p>
      <w:pPr>
        <w:pStyle w:val="ArticleScripture"/>
        <w:jc w:val="left"/>
      </w:pPr>
      <w:r>
        <w:rPr>
          <w:rFonts w:ascii="Times New Roman" w:hAnsi="Times New Roman" w:eastAsia="Times New Roman" w:cs="Times New Roman"/>
        </w:rPr>
        <w:t>Dan inilah penghukuman itu: terang telah datang ke dalam dunia, tetapi manusia lebih mengasihi kegelapan daripada terang, sebab perbuatan-perbuatan mereka jahat. Karena setiap orang yang berbuat jahat membenci terang dan tidak datang kepada terang itu, supaya perbuatan-perbuatannya jangan dinyatakan salah. Yohanes 3:19, 20.</w:t>
      </w:r>
    </w:p>
    <w:p>
      <w:pPr>
        <w:pStyle w:val="ArticleBody"/>
        <w:jc w:val="left"/>
      </w:pPr>
      <w:r>
        <w:rPr>
          <w:rFonts w:ascii="Times New Roman" w:hAnsi="Times New Roman" w:eastAsia="Times New Roman" w:cs="Times New Roman"/>
        </w:rPr>
        <w:t>Lisolo ya bopengwi ya Adventisme esili kolandama na Liloba ya esakweli ya Nzambe. Ezali solo ya esakweli. Elembeteli ya liboso ya likambo oyo ezali Yisraele ya kala. Yisraele ya kala ezali lisolo ya bopengwi oyo ezali kokoba mpe kobakisama, nzokande Biblia mpe Molimo ya Esakweli eteyaka ete Yisraele ya kala ezali elilingi ya Yisraele ya mikolo oyo. Atako likambo oyo ezali ya mawa, ezali naino na ntina mingi koleka liboso ete bosolo oyo esosolama na eleko oyo ya lelo. Oyo ezali kofungwama na Emoniseli ya Yesu Klisto ezali likambo ete lisolo ya Adventisme lokola liseke ya Baprotesta ezali kotambola na molongo moko na lisolo ya liseke ya Barepublicain. Maseke yango mibale epesaka moko na moko litatoli ya mibale, mpe koboya komona malamu moko ya batatoli yango, na mbala moko epekisaka ete motatoli mosusu mpe ayebana.</w:t>
      </w:r>
    </w:p>
    <w:p>
      <w:pPr>
        <w:pStyle w:val="ArticleBody"/>
        <w:jc w:val="left"/>
      </w:pPr>
      <w:r>
        <w:rPr>
          <w:rFonts w:ascii="Times New Roman" w:hAnsi="Times New Roman" w:eastAsia="Times New Roman" w:cs="Times New Roman"/>
        </w:rPr>
        <w:t>Garis keturunan Harun, Yerobeam, dan 1863 menandai permulaan Israel rohani modern, dan dengan demikian juga menandai permulaan tanduk Republik. Pekabaran malaikat ketiga adalah suatu amaran terhadap penerimaan tanda binatang itu. Amerika Serikatlah yang mula-mula memberlakukan undang-undang hari Ahad, lalu memaksa seluruh dunia untuk melakukan hal yang sama.</w:t>
      </w:r>
    </w:p>
    <w:p>
      <w:pPr>
        <w:pStyle w:val="ArticleScripture"/>
        <w:jc w:val="left"/>
      </w:pPr>
      <w:r>
        <w:rPr>
          <w:rFonts w:ascii="Times New Roman" w:hAnsi="Times New Roman" w:eastAsia="Times New Roman" w:cs="Times New Roman"/>
        </w:rPr>
        <w:t>“Bangsa-bangsa asing akan mengikuti teladan Amerika Syarikat. Walaupun dialah yang memimpin, namun krisis yang sama akan menimpa umat kita di seluruh pelosok dunia.” Testimonies, jilid 6, 395.</w:t>
      </w:r>
    </w:p>
    <w:p>
      <w:pPr>
        <w:pStyle w:val="ArticleBody"/>
        <w:jc w:val="left"/>
      </w:pPr>
      <w:r>
        <w:rPr>
          <w:rFonts w:ascii="Times New Roman" w:hAnsi="Times New Roman" w:eastAsia="Times New Roman" w:cs="Times New Roman"/>
        </w:rPr>
        <w:t>Dintlha tša boporofeta tše di amanago le bothata bja molao wa Lamorena di ka se aroganywe le mošomo wa United States. Sebata sa lefase sa Kutollo kgaolo ya lesomeseraro ke mmušo wa botshelela wa boporofeta bja Beibele, wo o bušago ka nywaga ye masomešupa ya boporofeta go ya ka Jesaya masomepedi-tharo. Ke sebata sa lefase seo se nago le dinaka tše pedi. Dintlha tša therešo tše di amanago le tswalano ya dinaka tšeo tše pedi bjale di a utollwa, eupša feela go bao ba kgethago go kwešiša gore Jesu o phethagatša go utollwa ga Kutollo ya Jesu Kriste ka go diriša mathomo a selo go laetša bofelo bja selo.</w:t>
      </w:r>
    </w:p>
    <w:p>
      <w:pPr>
        <w:pStyle w:val="ArticleBody"/>
        <w:jc w:val="left"/>
      </w:pPr>
      <w:r>
        <w:rPr>
          <w:rFonts w:ascii="Times New Roman" w:hAnsi="Times New Roman" w:eastAsia="Times New Roman" w:cs="Times New Roman"/>
        </w:rPr>
        <w:t>Amerika Syarikat bermula sebagai kerajaan keenam dalam nubuat Alkitab pada tahun 1798, dan sepanjang enam puluh lima tahun berikutnya, dua tanduk yang akan menempuh sejarah bersama-sama telah ditempatkan dalam suatu latar yang dapat dikenali, tetapi hanya oleh mereka yang rela melihat. Enam puluh lima tahun yang dikemukakan dalam Yesaya fasal tujuh bermula pada tahun 742 SM dan berakhir pada tahun 677 SM. Dari tahun 1798 hingga 1863, tahun-tahun itu telah diulangi. Enam puluh lima tahun itu menandakan suatu proses krisis pada kedua-dua tanduk.</w:t>
      </w:r>
    </w:p>
    <w:p>
      <w:pPr>
        <w:pStyle w:val="ArticleBody"/>
        <w:jc w:val="left"/>
      </w:pPr>
      <w:r>
        <w:rPr>
          <w:rFonts w:ascii="Times New Roman" w:hAnsi="Times New Roman" w:eastAsia="Times New Roman" w:cs="Times New Roman"/>
        </w:rPr>
        <w:t>Ka 1863, nako ya e e simololang ya “metlha ya kgosi e le nngwe” ya boperofeti ya Isaia masome a mabedi le boraro e ne e khutlile, mme ka go dira jalo ya tlhoma matshwao a ditsela a boperofeti a nako e e khutlang ya “metlha ya kgosi e le nngwe.” Bokhutlo jwa masome a supa a tshwantshetso a Isaia masome a mabedi le boraro bo supiwa ka dingwaga tsa ntlha tse masome a marataro le botlhano. Go tloga ka 1863 go fitlha nakong ya bokhutlo ka 1989, ke nako ya kereke ya Adventist ya Laodikea, e e simologileng mo motsamaong wa Millerite mme e felela mo motsamaong wa ba dikete tsotlhe di le lekgolo le masome a manè a mane. Gore re tlhaloganye nako e e kwa bokhutlong, re tshwanetse go tlhaloganya nako e e kwa tshimologong. Adventism ga e kgone go dira seno, gonne tshimologo ya yone e tshwailwe ka go gana ga yone ikano ya ga Moshe, e e supang dingwaga tsotlhe tse masome a marataro le botlhano tse di emelang tshimologo le bokhutlo jwa Adventism le jwa United States.</w:t>
      </w:r>
    </w:p>
    <w:p>
      <w:pPr>
        <w:pStyle w:val="ArticleBody"/>
        <w:jc w:val="left"/>
      </w:pPr>
      <w:r>
        <w:rPr>
          <w:rFonts w:ascii="Times New Roman" w:hAnsi="Times New Roman" w:eastAsia="Times New Roman" w:cs="Times New Roman"/>
        </w:rPr>
        <w:t>Khulumuko lolu, futsi lolu lukhulumuko lolubaluleke kakhulu, lesi sihloko sitame kusungula liciniso linye lesiprofetho lelisanyalo livulwa yiNgwenyama yesive sakaJuda. Liciniso nguleli: nangabe ungafuni kuvuma kutsi libandla le-Seventh-day Adventist belihlala njalo lisesimeni saseLawodisiya, ngako-ke ngekwengcondvo awunamandla ekuhlukaniseni kahle umlando we-Adventism, futsi ngaphandle kwekuhlukanisa kahle umlando we-Adventism awukwati kukhomba kahle luphondvo lweRepublicanism.</w:t>
      </w:r>
    </w:p>
    <w:p>
      <w:pPr>
        <w:pStyle w:val="ArticleScripture"/>
        <w:jc w:val="left"/>
      </w:pPr>
      <w:r>
        <w:rPr>
          <w:rFonts w:ascii="Times New Roman" w:hAnsi="Times New Roman" w:eastAsia="Times New Roman" w:cs="Times New Roman"/>
        </w:rPr>
        <w:t>Ari, tsɔ e wɔn agye wɔn ho afi wiase yi mu agu fi no mu, denam Awurade ne Agyenkwa Yesu Kristo ho nimdeɛ so, na wɔasan akyekyere wɔn mu bio, na wɔadi wɔn so nkonim a, wɔn awiei no asɛe sen mfiase no. Na eye ma wɔn sɛ anka wɔanhu trenee kwan no koraa, sen sɛ, wɔahu no akyi no, wɔbɛdan afi ahyɛde kronkron a wɔde maa wɔn no ho. Na aba wɔn so sɛnea mmebusɛm a ɛyɛ nokware no ka no se, Ɔkraman no asan akɔ ne fe mu bio; na ɔprako a wɔahoro no no asan akɔ atɛw ne ho wɔ atɛkyɛ mu. 2 Petro 2:20–22.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Nombor Sebelas</dc:title>
  <dc:subject>Nafsi a Ɔdi Kan Munna</dc:subject>
  <dc:creator>Jeff Pippenger</dc:creator>
  <cp:keywords/>
  <dc:description>Generated by ArticleDigger from elijah\11_elijah.json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