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អនាគតសម្រាប់អាមេរិក</w:t>
      </w:r>
      <w:r>
        <w:rPr>
          <w:rFonts w:ascii="Arial" w:hAnsi="Arial" w:eastAsia="Arial" w:cs="Arial"/>
        </w:rPr>
        <w:t xml:space="preserve"> </w:t>
      </w:r>
      <w:r>
        <w:rPr>
          <w:rFonts w:ascii="Leelawadee UI" w:hAnsi="Leelawadee UI" w:eastAsia="Leelawadee UI" w:cs="Leelawadee UI"/>
        </w:rPr>
        <w:t>និងថ្ងៃទី</w:t>
      </w:r>
      <w:r>
        <w:rPr>
          <w:rFonts w:ascii="Arial" w:hAnsi="Arial" w:eastAsia="Arial" w:cs="Arial"/>
        </w:rPr>
        <w:t xml:space="preserve"> 18 </w:t>
      </w:r>
      <w:r>
        <w:rPr>
          <w:rFonts w:ascii="Leelawadee UI" w:hAnsi="Leelawadee UI" w:eastAsia="Leelawadee UI" w:cs="Leelawadee UI"/>
        </w:rPr>
        <w:t>ខែកក្កដា</w:t>
      </w:r>
      <w:r>
        <w:rPr>
          <w:rFonts w:ascii="Arial" w:hAnsi="Arial" w:eastAsia="Arial" w:cs="Arial"/>
        </w:rPr>
        <w:t xml:space="preserve"> </w:t>
      </w:r>
      <w:r>
        <w:rPr>
          <w:rFonts w:ascii="Leelawadee UI" w:hAnsi="Leelawadee UI" w:eastAsia="Leelawadee UI" w:cs="Leelawadee UI"/>
        </w:rPr>
        <w:t>ឆ្នាំ</w:t>
      </w:r>
      <w:r>
        <w:rPr>
          <w:rFonts w:ascii="Arial" w:hAnsi="Arial" w:eastAsia="Arial" w:cs="Arial"/>
        </w:rPr>
        <w:t xml:space="preserve"> 2020 - </w:t>
      </w: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២</w:t>
      </w:r>
    </w:p>
    <w:p>
      <w:pPr>
        <w:pStyle w:val="ArticleSubtitle"/>
        <w:jc w:val="left"/>
      </w:pPr>
      <w:r>
        <w:rPr>
          <w:rFonts w:ascii="Arial" w:hAnsi="Arial" w:eastAsia="Arial" w:cs="Arial"/>
        </w:rPr>
        <w:t>Ukudla uMyalezo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Ka re tlile gaufi fela pele ga go tswalwa ga nako ya teko, go neelwa taelo ya gore “o se ka wa gatisetsa mafoko a boporofeti jwa buka e.”</w:t>
      </w:r>
    </w:p>
    <w:p>
      <w:pPr>
        <w:pStyle w:val="ArticleScripture"/>
        <w:jc w:val="left"/>
      </w:pPr>
      <w:r>
        <w:rPr>
          <w:rFonts w:ascii="Times New Roman" w:hAnsi="Times New Roman" w:eastAsia="Times New Roman" w:cs="Times New Roman"/>
        </w:rPr>
        <w:t>Bhe e rauh ka thueng hna ah ka um: He cabu hna thu simmi hi ta hngah hlah; tikcu hi a naih cang. A dik lo mi cu, a dik lo vekin um ko seh: a thiang lo mi cu, a thiang lo vekin um ko seh: a dinghmun mi cu, a dinghmun vekin um ko seh: a thianghlim mi cu, a thianghlim vekin um ko seh. Thuphuan 22:10, 11.</w:t>
      </w:r>
    </w:p>
    <w:p>
      <w:pPr>
        <w:pStyle w:val="ArticleBody"/>
        <w:jc w:val="left"/>
      </w:pPr>
      <w:r>
        <w:rPr>
          <w:rFonts w:ascii="Times New Roman" w:hAnsi="Times New Roman" w:eastAsia="Times New Roman" w:cs="Times New Roman"/>
        </w:rPr>
        <w:t>Dalam fasal lima Kitab Wahyu, Allah Bapa bersemayam di atas takhta-Nya dan di dalam tangan-Nya ada sebuah kitab yang dimeteraikan dengan tujuh meterai.</w:t>
      </w:r>
    </w:p>
    <w:p>
      <w:pPr>
        <w:pStyle w:val="ArticleScripture"/>
        <w:jc w:val="left"/>
      </w:pPr>
      <w:r>
        <w:rPr>
          <w:rFonts w:ascii="Times New Roman" w:hAnsi="Times New Roman" w:eastAsia="Times New Roman" w:cs="Times New Roman"/>
        </w:rPr>
        <w:t>Lalu aku melihat pada tangan kanan Dia yang duduk di atas takhta sebuah kitab, yang tertulis di sebelah dalam dan pada sebelah luarnya, dimeteraikan dengan tujuh meterai. Wahyu 5:1.</w:t>
      </w:r>
    </w:p>
    <w:p>
      <w:pPr>
        <w:pStyle w:val="ArticleBody"/>
        <w:jc w:val="left"/>
      </w:pPr>
      <w:r>
        <w:rPr>
          <w:rFonts w:ascii="Times New Roman" w:hAnsi="Times New Roman" w:eastAsia="Times New Roman" w:cs="Times New Roman"/>
        </w:rPr>
        <w:t>Bahimbitana bja tsheto ku tloga temaneng ya ntlha, bo tswelela go fihla mo kgaolong ya bosupa, re bona gore Jesu, yo a emetsweng e le Tau ya lotso lwa Juda, ke Ene yo o tsayang buka mo seatleng sa ga Rraagwe mme a simolola go bula dikano ka go latelana. Fa A bula sekano sa borataro mme a tlhagisa molaetsa o o emetsweng ke sekano seo, kgaolo ya borataro e a fela. E fela ka potso e e isang mo kgaolong ya bosupa, kwa re fitlhelang karabo ya potso e e tlhagisitsweng mo temaneng ya bofelo ya kgaolo ya borataro.</w:t>
      </w:r>
    </w:p>
    <w:p>
      <w:pPr>
        <w:pStyle w:val="ArticleScripture"/>
        <w:jc w:val="left"/>
      </w:pPr>
      <w:r>
        <w:rPr>
          <w:rFonts w:ascii="Times New Roman" w:hAnsi="Times New Roman" w:eastAsia="Times New Roman" w:cs="Times New Roman"/>
        </w:rPr>
        <w:t>Ka letsatsi le legolo la bogale jwa gagwe le tlile; mme ke mang yo o tla kgonang go ema? Tshenolo 6:17.</w:t>
      </w:r>
    </w:p>
    <w:p>
      <w:pPr>
        <w:pStyle w:val="ArticleBody"/>
        <w:jc w:val="left"/>
      </w:pPr>
      <w:r>
        <w:rPr>
          <w:rFonts w:ascii="Nirmala UI" w:hAnsi="Nirmala UI" w:eastAsia="Nirmala UI" w:cs="Nirmala UI"/>
        </w:rPr>
        <w:t>பாடம்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நாற்பத்துநான்கு</w:t>
      </w:r>
      <w:r>
        <w:rPr>
          <w:rFonts w:ascii="Times New Roman" w:hAnsi="Times New Roman" w:eastAsia="Times New Roman" w:cs="Times New Roman"/>
        </w:rPr>
        <w:t xml:space="preserve"> </w:t>
      </w:r>
      <w:r>
        <w:rPr>
          <w:rFonts w:ascii="Nirmala UI" w:hAnsi="Nirmala UI" w:eastAsia="Nirmala UI" w:cs="Nirmala UI"/>
        </w:rPr>
        <w:t>ஆயிரத்தவரையும்</w:t>
      </w:r>
      <w:r>
        <w:rPr>
          <w:rFonts w:ascii="Times New Roman" w:hAnsi="Times New Roman" w:eastAsia="Times New Roman" w:cs="Times New Roman"/>
        </w:rPr>
        <w:t xml:space="preserve"> “</w:t>
      </w:r>
      <w:r>
        <w:rPr>
          <w:rFonts w:ascii="Nirmala UI" w:hAnsi="Nirmala UI" w:eastAsia="Nirmala UI" w:cs="Nirmala UI"/>
        </w:rPr>
        <w:t>பெரும்</w:t>
      </w:r>
      <w:r>
        <w:rPr>
          <w:rFonts w:ascii="Times New Roman" w:hAnsi="Times New Roman" w:eastAsia="Times New Roman" w:cs="Times New Roman"/>
        </w:rPr>
        <w:t xml:space="preserve"> </w:t>
      </w:r>
      <w:r>
        <w:rPr>
          <w:rFonts w:ascii="Nirmala UI" w:hAnsi="Nirmala UI" w:eastAsia="Nirmala UI" w:cs="Nirmala UI"/>
        </w:rPr>
        <w:t>திரளான</w:t>
      </w:r>
      <w:r>
        <w:rPr>
          <w:rFonts w:ascii="Times New Roman" w:hAnsi="Times New Roman" w:eastAsia="Times New Roman" w:cs="Times New Roman"/>
        </w:rPr>
        <w:t xml:space="preserve"> </w:t>
      </w:r>
      <w:r>
        <w:rPr>
          <w:rFonts w:ascii="Nirmala UI" w:hAnsi="Nirmala UI" w:eastAsia="Nirmala UI" w:cs="Nirmala UI"/>
        </w:rPr>
        <w:t>ஜனக்கூட்டத்தையும்</w:t>
      </w:r>
      <w:r>
        <w:rPr>
          <w:rFonts w:ascii="Times New Roman" w:hAnsi="Times New Roman" w:eastAsia="Times New Roman" w:cs="Times New Roman"/>
        </w:rPr>
        <w:t xml:space="preserve">” </w:t>
      </w:r>
      <w:r>
        <w:rPr>
          <w:rFonts w:ascii="Nirmala UI" w:hAnsi="Nirmala UI" w:eastAsia="Nirmala UI" w:cs="Nirmala UI"/>
        </w:rPr>
        <w:t>அறிமுகப்படுத்துகிறது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முன்வைக்கப்பட்ட</w:t>
      </w:r>
      <w:r>
        <w:rPr>
          <w:rFonts w:ascii="Times New Roman" w:hAnsi="Times New Roman" w:eastAsia="Times New Roman" w:cs="Times New Roman"/>
        </w:rPr>
        <w:t xml:space="preserve"> </w:t>
      </w:r>
      <w:r>
        <w:rPr>
          <w:rFonts w:ascii="Nirmala UI" w:hAnsi="Nirmala UI" w:eastAsia="Nirmala UI" w:cs="Nirmala UI"/>
        </w:rPr>
        <w:t>பின்பு</w:t>
      </w:r>
      <w:r>
        <w:rPr>
          <w:rFonts w:ascii="Times New Roman" w:hAnsi="Times New Roman" w:eastAsia="Times New Roman" w:cs="Times New Roman"/>
        </w:rPr>
        <w:t xml:space="preserve">, </w:t>
      </w:r>
      <w:r>
        <w:rPr>
          <w:rFonts w:ascii="Nirmala UI" w:hAnsi="Nirmala UI" w:eastAsia="Nirmala UI" w:cs="Nirmala UI"/>
        </w:rPr>
        <w:t>அப்பொழுதுதான்</w:t>
      </w:r>
      <w:r>
        <w:rPr>
          <w:rFonts w:ascii="Times New Roman" w:hAnsi="Times New Roman" w:eastAsia="Times New Roman" w:cs="Times New Roman"/>
        </w:rPr>
        <w:t xml:space="preserve"> </w:t>
      </w:r>
      <w:r>
        <w:rPr>
          <w:rFonts w:ascii="Nirmala UI" w:hAnsi="Nirmala UI" w:eastAsia="Nirmala UI" w:cs="Nirmala UI"/>
        </w:rPr>
        <w:t>ஏழாவது</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அகற்றப்படுவதை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காண்கிறோம்</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புத்தகத்தில்</w:t>
      </w:r>
      <w:r>
        <w:rPr>
          <w:rFonts w:ascii="Times New Roman" w:hAnsi="Times New Roman" w:eastAsia="Times New Roman" w:cs="Times New Roman"/>
        </w:rPr>
        <w:t xml:space="preserve"> </w:t>
      </w:r>
      <w:r>
        <w:rPr>
          <w:rFonts w:ascii="Nirmala UI" w:hAnsi="Nirmala UI" w:eastAsia="Nirmala UI" w:cs="Nirmala UI"/>
        </w:rPr>
        <w:t>முத்திரையிடப்பட்டுள்ள</w:t>
      </w:r>
      <w:r>
        <w:rPr>
          <w:rFonts w:ascii="Times New Roman" w:hAnsi="Times New Roman" w:eastAsia="Times New Roman" w:cs="Times New Roman"/>
        </w:rPr>
        <w:t xml:space="preserve"> </w:t>
      </w:r>
      <w:r>
        <w:rPr>
          <w:rFonts w:ascii="Nirmala UI" w:hAnsi="Nirmala UI" w:eastAsia="Nirmala UI" w:cs="Nirmala UI"/>
        </w:rPr>
        <w:t>மற்றொரு</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இடிகளே</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இதன்</w:t>
      </w:r>
      <w:r>
        <w:rPr>
          <w:rFonts w:ascii="Times New Roman" w:hAnsi="Times New Roman" w:eastAsia="Times New Roman" w:cs="Times New Roman"/>
        </w:rPr>
        <w:t xml:space="preserve"> </w:t>
      </w:r>
      <w:r>
        <w:rPr>
          <w:rFonts w:ascii="Nirmala UI" w:hAnsi="Nirmala UI" w:eastAsia="Nirmala UI" w:cs="Nirmala UI"/>
        </w:rPr>
        <w:t>எளிய</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என்னவெனில்</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முடிவடைவதற்கு</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நீக்கப்படக்கூடிய</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புத்தகத்திலுள்ள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இடிகள்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Selama bertahun-tahun, jika bukan puluhan tahun, Future for America telah mengenal pasti apa yang diwakili oleh “tujuh guruh” itu. “Tujuh guruh” itu mewakili sejarah gerakan Millerite dari 11 Ogos 1840 hingga 22 Oktober 1844. Sister White mengesahkan hakikat ini dan menambahkan bahawa “tujuh guruh” itu juga mewakili “peristiwa-peristiwa masa depan yang akan dinyatakan menurut urutannya.” Suatu pembentangan terperinci mengenai fakta-fakta ini dapat ditemukan dalam Habakkuk’s Tables, bagi sesiapa yang belum mengenal kenyataan-kenyataan nubuatan ini.</w:t>
      </w:r>
    </w:p>
    <w:p>
      <w:pPr>
        <w:pStyle w:val="ArticleBody"/>
        <w:jc w:val="left"/>
      </w:pPr>
      <w:r>
        <w:rPr>
          <w:rFonts w:ascii="Myanmar Text" w:hAnsi="Myanmar Text" w:eastAsia="Myanmar Text" w:cs="Myanmar Text"/>
        </w:rPr>
        <w:t>ဝိဝာဒကျမ်း၌</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ခုနစ်မိုးကြိုး၏</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တင်ပြခဲ့သည်မှာ</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အမှန်တရားပင်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ယခုနှစ်</w:t>
      </w:r>
      <w:r>
        <w:rPr>
          <w:rFonts w:ascii="Times New Roman" w:hAnsi="Times New Roman" w:eastAsia="Times New Roman" w:cs="Times New Roman"/>
        </w:rPr>
        <w:t xml:space="preserve"> </w:t>
      </w:r>
      <w:r>
        <w:rPr>
          <w:rFonts w:ascii="Myanmar Text" w:hAnsi="Myanmar Text" w:eastAsia="Myanmar Text" w:cs="Myanmar Text"/>
        </w:rPr>
        <w:t>ဩဂုတ်လမှစ၍</w:t>
      </w:r>
      <w:r>
        <w:rPr>
          <w:rFonts w:ascii="Times New Roman" w:hAnsi="Times New Roman" w:eastAsia="Times New Roman" w:cs="Times New Roman"/>
        </w:rPr>
        <w:t xml:space="preserve"> </w:t>
      </w:r>
      <w:r>
        <w:rPr>
          <w:rFonts w:ascii="Myanmar Text" w:hAnsi="Myanmar Text" w:eastAsia="Myanmar Text" w:cs="Myanmar Text"/>
        </w:rPr>
        <w:t>ထိုအကြောင်းအရာများအပေါ်</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မိမိလက်ကို</w:t>
      </w:r>
      <w:r>
        <w:rPr>
          <w:rFonts w:ascii="Times New Roman" w:hAnsi="Times New Roman" w:eastAsia="Times New Roman" w:cs="Times New Roman"/>
        </w:rPr>
        <w:t xml:space="preserve"> </w:t>
      </w:r>
      <w:r>
        <w:rPr>
          <w:rFonts w:ascii="Myanmar Text" w:hAnsi="Myanmar Text" w:eastAsia="Myanmar Text" w:cs="Myanmar Text"/>
        </w:rPr>
        <w:t>ဖယ်ရှားတော်မူခဲ့ပြီး၊</w:t>
      </w:r>
      <w:r>
        <w:rPr>
          <w:rFonts w:ascii="Times New Roman" w:hAnsi="Times New Roman" w:eastAsia="Times New Roman" w:cs="Times New Roman"/>
        </w:rPr>
        <w:t xml:space="preserve"> </w:t>
      </w:r>
      <w:r>
        <w:rPr>
          <w:rFonts w:ascii="Myanmar Text" w:hAnsi="Myanmar Text" w:eastAsia="Myanmar Text" w:cs="Myanmar Text"/>
        </w:rPr>
        <w:t>ပိုမိုနက်ရှိုင်းသော</w:t>
      </w:r>
      <w:r>
        <w:rPr>
          <w:rFonts w:ascii="Times New Roman" w:hAnsi="Times New Roman" w:eastAsia="Times New Roman" w:cs="Times New Roman"/>
        </w:rPr>
        <w:t xml:space="preserve"> </w:t>
      </w:r>
      <w:r>
        <w:rPr>
          <w:rFonts w:ascii="Myanmar Text" w:hAnsi="Myanmar Text" w:eastAsia="Myanmar Text" w:cs="Myanmar Text"/>
        </w:rPr>
        <w:t>နားလည်မှုကို</w:t>
      </w:r>
      <w:r>
        <w:rPr>
          <w:rFonts w:ascii="Times New Roman" w:hAnsi="Times New Roman" w:eastAsia="Times New Roman" w:cs="Times New Roman"/>
        </w:rPr>
        <w:t xml:space="preserve"> </w:t>
      </w:r>
      <w:r>
        <w:rPr>
          <w:rFonts w:ascii="Myanmar Text" w:hAnsi="Myanmar Text" w:eastAsia="Myanmar Text" w:cs="Myanmar Text"/>
        </w:rPr>
        <w:t>ထင်ရှားဖွင့်ပြတော်မူခဲ့ပြီ။</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စတင်မည်ဖြစ်ပြီး၊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ထိုအခန်းအပေါ်</w:t>
      </w:r>
      <w:r>
        <w:rPr>
          <w:rFonts w:ascii="Times New Roman" w:hAnsi="Times New Roman" w:eastAsia="Times New Roman" w:cs="Times New Roman"/>
        </w:rPr>
        <w:t xml:space="preserve"> Sister White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မှတ်ချက်ကို</w:t>
      </w:r>
      <w:r>
        <w:rPr>
          <w:rFonts w:ascii="Times New Roman" w:hAnsi="Times New Roman" w:eastAsia="Times New Roman" w:cs="Times New Roman"/>
        </w:rPr>
        <w:t xml:space="preserve"> </w:t>
      </w:r>
      <w:r>
        <w:rPr>
          <w:rFonts w:ascii="Myanmar Text" w:hAnsi="Myanmar Text" w:eastAsia="Myanmar Text" w:cs="Myanmar Text"/>
        </w:rPr>
        <w:t>ဆင်ခြင်သုံးသပ်မည်။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မပြုမီ၊</w:t>
      </w:r>
      <w:r>
        <w:rPr>
          <w:rFonts w:ascii="Times New Roman" w:hAnsi="Times New Roman" w:eastAsia="Times New Roman" w:cs="Times New Roman"/>
        </w:rPr>
        <w:t xml:space="preserve"> </w:t>
      </w:r>
      <w:r>
        <w:rPr>
          <w:rFonts w:ascii="Myanmar Text" w:hAnsi="Myanmar Text" w:eastAsia="Myanmar Text" w:cs="Myanmar Text"/>
        </w:rPr>
        <w:t>ခုနစ်မိုးကြိုးကို</w:t>
      </w:r>
      <w:r>
        <w:rPr>
          <w:rFonts w:ascii="Times New Roman" w:hAnsi="Times New Roman" w:eastAsia="Times New Roman" w:cs="Times New Roman"/>
        </w:rPr>
        <w:t xml:space="preserve"> </w:t>
      </w:r>
      <w:r>
        <w:rPr>
          <w:rFonts w:ascii="Myanmar Text" w:hAnsi="Myanmar Text" w:eastAsia="Myanmar Text" w:cs="Myanmar Text"/>
        </w:rPr>
        <w:t>ဆင်ခြင်သုံးသပ်ခြင်းနှင့်</w:t>
      </w:r>
      <w:r>
        <w:rPr>
          <w:rFonts w:ascii="Times New Roman" w:hAnsi="Times New Roman" w:eastAsia="Times New Roman" w:cs="Times New Roman"/>
        </w:rPr>
        <w:t xml:space="preserve"> </w:t>
      </w:r>
      <w:r>
        <w:rPr>
          <w:rFonts w:ascii="Myanmar Text" w:hAnsi="Myanmar Text" w:eastAsia="Myanmar Text" w:cs="Myanmar Text"/>
        </w:rPr>
        <w:t>မသက်ဆိုင်သော</w:t>
      </w:r>
      <w:r>
        <w:rPr>
          <w:rFonts w:ascii="Times New Roman" w:hAnsi="Times New Roman" w:eastAsia="Times New Roman" w:cs="Times New Roman"/>
        </w:rPr>
        <w:t xml:space="preserve"> </w:t>
      </w:r>
      <w:r>
        <w:rPr>
          <w:rFonts w:ascii="Myanmar Text" w:hAnsi="Myanmar Text" w:eastAsia="Myanmar Text" w:cs="Myanmar Text"/>
        </w:rPr>
        <w:t>အချက်နှစ်ချက်ကို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သတ်မှတ်ဖော်ထုတ်ရမည်။</w:t>
      </w:r>
    </w:p>
    <w:p>
      <w:pPr>
        <w:pStyle w:val="ArticleBody"/>
        <w:jc w:val="left"/>
      </w:pPr>
      <w:r>
        <w:rPr>
          <w:rFonts w:ascii="Times New Roman" w:hAnsi="Times New Roman" w:eastAsia="Times New Roman" w:cs="Times New Roman"/>
        </w:rPr>
        <w:t>Ntlha ya ntlha ke gore go lemoga boammaaruri jwa marumo a supa jo jaanong bo senotsweng go tlhoka methaladi e le mmalwa ya boammaaruri gore tsotlhe tse marumo a supa a di emelang di bewe mo lefelong la tsone. Fano, ke a rapela, ke bopelotelele jwa baitshepi. Ntlha ya bobedi e e amanang le seno ke gore lenaneo le le tlhagisang neelano ya modumo ya ditlhogo tse le na le tekanyetso mo bongateng jwa nako jo le ka bo balang le go bo bua. Ditlhogo tsotlhe di tshwanetse go lekana mo pakeng eo ya nako. Go tloga kwa tshimologong ya thuto eno, ke lo itsise gore go tla tlhokega ditlhogo di se kae go tlhoma boammaaruri jo bo emelwang ke marumo a supa. Jaanong a re yeng kwa kgaolong ya bolesome.</w:t>
      </w:r>
    </w:p>
    <w:p>
      <w:pPr>
        <w:pStyle w:val="ArticleScripture"/>
        <w:jc w:val="left"/>
      </w:pPr>
      <w:r>
        <w:rPr>
          <w:rFonts w:ascii="Times New Roman" w:hAnsi="Times New Roman" w:eastAsia="Times New Roman" w:cs="Times New Roman"/>
        </w:rPr>
        <w:t>Ndzi tlhela ndzi vona un’wana ntsumi leyikulu yi rhelela hi le tilweni, yi ambale papa; naswona enhlohlorhini wa yona a ku ri ni nkwangulatilo, naswona xikandza xa yona a xi fana ni dyambu, ni milenge ya yona yi fana ni tinsika ta ndzilo. A yi ri ni buku leyitsongo leyi pfulekeke evokweni ra yona; kutani yi veka nenge wa yona wa xinene ehenhla ka lwandle, ni wa ximatsi ehenhla ka misava, yi huwelela hi rito lerikulu, kukota loko nghala yi bonga; kutani loko yi huwelele, mipfumo ya nkombo yi humesa marito ya yona. Kutani loko mipfumo ya nkombo yi humesile marito ya yona, a ndzi ri kusuhi ni ku tsala; kambe ndzi twa rito leri humaka etilweni ri ku eka mina: Pfala swilo leswi mipfumo ya nkombo yi swi vuleke, u nga swi tsali. Kutani ntsumi leyi ndzi yi voneke yi yime ehenhla ka lwandle ni le henhla ka misava yi tlakusa voko ra yona e tilweni, yi hlambanya hi Loyi a hanyaka hilaha ku nga heriki ni masiku, loyi a tumbuluxeke tilo, ni swilo leswi nga eka rona, ni misava, ni swilo leswi nga eka yona, ni lwandle, ni swilo leswi nga eka rona, leswaku nkarhi a wu nge he vi kona; kambe emasikwini ya rito ra ntsumi ya vunkombo, loko yi sungula ku ba mhalamhala, xihundla xa Xikwembu xi ta hetiseka, hilaha xi tiviseke hakona eka malandza ya xona, vaprofeta. Kutani rito leri ndzi ri tweke ri huma etilweni ri tlhela ri vulavula na mina, ri ku: Famba u ya teka buku leyitsongo leyi pfulekeke evokweni ra ntsumi leyi yimaka ehenhla ka lwandle ni le henhla ka misava. Kutani ndzi ya eka ntsumi, ndzi ku eka yona: Ndzi nyike buku leyitsongo. Kutani yi ku eka mina: Yi teke, u yi dya yi hela; kutani yi ta vavisa khwiri ra wena, kambe enon’wini wa wena yi ta tsokombela ku fana ni vulombe. Kutani ndzi teka buku leyitsongo evokweni ra ntsumi, ndzi yi dya yi hela; naswona enon’wini wa mina a yi tsokombela ku fana ni vulombe; kambe kuteloko ndzi yi dyile, khwiri ra mina ri vaviseka. Kutani yi ku eka mina: U fanele ku tlhela u profeta emahlweni ka vanhu vo tala, ni matiko, ni tindzimi, ni tihosi. Nhlavutelo 10:1–11.</w:t>
      </w:r>
    </w:p>
    <w:p>
      <w:pPr>
        <w:pStyle w:val="ArticleBody"/>
        <w:jc w:val="left"/>
      </w:pPr>
      <w:r>
        <w:rPr>
          <w:rFonts w:ascii="Times New Roman" w:hAnsi="Times New Roman" w:eastAsia="Times New Roman" w:cs="Times New Roman"/>
        </w:rPr>
        <w:t>Ha ni le ka kgaolo ya lesome, Kgaitsadi White o bolela jaana:</w:t>
      </w:r>
    </w:p>
    <w:p>
      <w:pPr>
        <w:pStyle w:val="ArticleScripture"/>
        <w:jc w:val="left"/>
      </w:pPr>
      <w:r>
        <w:rPr>
          <w:rFonts w:ascii="Times New Roman" w:hAnsi="Times New Roman" w:eastAsia="Times New Roman" w:cs="Times New Roman"/>
        </w:rPr>
        <w:t>“꞉misi kiniké idém Jon kóshkehit ayát níswa Jísus Kraíst éna. Wanáhki ihkwéyi nábékik imíni, ána ihkwéyi kákinik akíng eyát, mína óma ína ánitaw étotak éspi íshkwaa-bimádiziwin éyaang óma mishi-gagwedwewin ékóshi Setán. Óma éyaang mína wábandaan ékóshi wín gégo míshiweni wíchitowin mína tipenitamowin kákinik akíng. Ówe gagwedwewin mii go gewéndang, ána mámawi-bimaadizid éna ge-izhichiged gaa-ayáad dazhiikewin mínawaa mínawaa éshkwaa dá-izhiseg, ékóshi íshkwaa-izhichiged páhpiwinan máka ána mámawi-maji-ayáa mínawaa wíkiwenh gaa-izhiwebizid ge-mínaabiig. Setán, mámawi-ayáad gaa-maji-ininiwag, ga-gaganoonaan kákinik akíng mínawaa iwe chiníshinaabewigamigoon gaa-boonitoowaad sa go gagwejimowin. Mii sa go misi kiniké waabandan gégo gagwejimowin. Éshkaadewag íshini. Mína ge-wábandaan gégo mashkawiziwin mína tipenitamowin ówe odoodemwan íshini gaa-mámawi-ayaawaad ékóshi Setán ge-bakite’enimowaad débwewin.”</w:t>
      </w:r>
    </w:p>
    <w:p>
      <w:pPr>
        <w:pStyle w:val="ArticleScripture"/>
        <w:jc w:val="left"/>
      </w:pPr>
      <w:r>
        <w:rPr>
          <w:rFonts w:ascii="Times New Roman" w:hAnsi="Times New Roman" w:eastAsia="Times New Roman" w:cs="Times New Roman"/>
        </w:rPr>
        <w:t>“Thunder tujuh itu selesai menyuarakan suara mereka, maka datanglah perintah kepada Yohanes sebagaimana kepada Daniel berkenaan dengan kitab kecil itu: ‘Meterailah segala sesuatu yang telah diucapkan oleh ketujuh guruh itu.’ Hal-hal ini berkaitan dengan peristiwa-peristiwa yang akan datang yang akan dinyatakan menurut urutannya. Daniel akan berdiri dalam bahagiannya pada akhir zaman. Yohanes melihat kitab kecil itu terbuka meterainya. Maka nubuatan-nubuatan Daniel mendapat tempatnya yang semestinya dalam pekabaran malaikat pertama, kedua, dan ketiga yang akan disampaikan kepada dunia. Pembukaan meterai kitab kecil itu adalah pekabaran yang berhubungan dengan waktu.”</w:t>
      </w:r>
    </w:p>
    <w:p>
      <w:pPr>
        <w:pStyle w:val="ArticleScripture"/>
        <w:jc w:val="left"/>
      </w:pPr>
      <w:r>
        <w:rPr>
          <w:rFonts w:ascii="Times New Roman" w:hAnsi="Times New Roman" w:eastAsia="Times New Roman" w:cs="Times New Roman"/>
        </w:rPr>
        <w:t>“Libuku lya Danieli ni Mbimbinu (Ufunuo) bɨli kimwe. Kimwe ni ubusakule, ikingi ni ubusokolu; kimwe ni libuku ilyapindikwe, ikingi ni libuku ilyigululiwe. Yohane apulike ifisisi ifyo amangulumo yayobile, lelo alagilwe ukuti atalembe ifyo.”</w:t>
      </w:r>
    </w:p>
    <w:p>
      <w:pPr>
        <w:pStyle w:val="ArticleScripture"/>
        <w:jc w:val="left"/>
      </w:pPr>
      <w:r>
        <w:rPr>
          <w:rFonts w:ascii="Times New Roman" w:hAnsi="Times New Roman" w:eastAsia="Times New Roman" w:cs="Times New Roman"/>
        </w:rPr>
        <w:t>“Lus i hevi yumi givim long Jon, we hem i kamtru long ol seven tonda, hem i wanpela klia tok piksa bilong ol samting bai kamap aninit long ol tok bilong namba wan na namba tu ensel. I no gutpela long ol manmeri long save long ol dispela samting, long wanem, bilip bilong ol i mas tru long kisim trael. Long oda bilong God, ol tru i nambawan tru na i go pas moa bai ol i autim. Ol tok bilong namba wan na namba tu ensel i mas kamap long autim, tasol i no gat moa lait i mas kamap ples klia pastaim long ol dispela tok i bin pinisim stret wok bilong ol. Dispela em i stap long piksa bilong ensel i sanap wantaim wanpela lek long solwara, na i autim wantaim wanpela tru tumas na bilong pretim bel tok tru antap olsem taim bai i no gat moa.” The Seventh-day Adventist Bible Commentary, volume 7, 971.</w:t>
      </w:r>
    </w:p>
    <w:p>
      <w:pPr>
        <w:pStyle w:val="ArticleBody"/>
        <w:jc w:val="left"/>
      </w:pPr>
      <w:r>
        <w:rPr>
          <w:rFonts w:ascii="Times New Roman" w:hAnsi="Times New Roman" w:eastAsia="Times New Roman" w:cs="Times New Roman"/>
        </w:rPr>
        <w:t>“Ὁ ἰσχυρὸς ἄγγελος” ὁ καταβὰς τῇ 11ῃ Αὐγούστου 1840 ἦτο ὁ Χριστός, καὶ εἶχεν ἐν τῇ χειρὶ αὐτοῦ μήνυμα, τὸ ὁποῖον ὁ Ἰωάννης ἐλέχθη νὰ καταφάγῃ. Ὃ ἔφαγεν ὁ Ἰωάννης ἦτο μήνυμα, ἀλλὰ ἦτο σαφῶς μήνυμα προωρισμένον νὰ μεταφερθῇ εἰς τὸν λαὸν τοῦ Θεοῦ, καὶ οὐχὶ εἰς τὸν κόσμον. Εἶναι σημαντικὸν νὰ ἀναγνωρισθῇ ποῖος εἶναι ὁ ἀποδέκτης τοῦ χωρίου, διότι, μολονότι ὁ Χριστὸς κατέβη τῇ 11ῃ Αὐγούστου 1840, σηματοδοτῶν τὴν ἐνδυνάμωσιν τοῦ μηνύματος τοῦ πρώτου ἀγγέλου, καὶ οὕτως προσδιορίζων πότε τὸ μήνυμα τοῦ πρώτου ἀγγέλου ἔμελλε νὰ κηρυχθῇ εἰς ὅλον τὸν κόσμον, τὸ μικρὸν βιβλίον, τὸ ὁποῖον ὁ Ἰωάννης ἔμελλε νὰ καταφάγῃ, προσδιορίζει πότε ὁ Προτεσταντισμὸς παρέδωκε τὸν μανδύαν τοῦ Προτεσταντισμοῦ εἰς τοὺς Μιλλερίτας. Ὅτε ὁ Χριστὸς κατέβη μετὰ τοῦ μικροῦ βιβλίου, ἐτερμάτιζε τὴν διαθηκικὴν αὐτοῦ σχέσιν μετὰ τῆς ἐκκλησίας ἐκ τῆς ἐρήμου καὶ συγχρόνως ἀνεγνώριζε τὸν λαὸν τῶν Μιλλεριτῶν ὡς τὸν νέον ἐκλεκτὸν διαθηκικὸν αὐτοῦ λαόν. Οἱ Μιλλερίται ἦσαν λαὸς ὅστις πρότερον δὲν ἦτο λαὸς τοῦ Θεοῦ. Οἱ προφῆται οὐδέποτε ἀντιφάσκουσιν ἀλλήλοις.</w:t>
      </w:r>
    </w:p>
    <w:p>
      <w:pPr>
        <w:pStyle w:val="ArticleScripture"/>
        <w:jc w:val="left"/>
      </w:pPr>
      <w:r>
        <w:rPr>
          <w:rFonts w:ascii="Times New Roman" w:hAnsi="Times New Roman" w:eastAsia="Times New Roman" w:cs="Times New Roman"/>
        </w:rPr>
        <w:t>Lalu Ia berfirman kepadaku, “Hai anak manusia, berdirilah di atas kakimu, maka Aku akan berfirman kepadamu.” Dan Roh masuk ke dalam aku ketika Ia berfirman kepadaku, lalu menegakkan aku di atas kakiku, sehingga aku mendengar Dia yang berfirman kepadaku. Dan Ia berfirman kepadaku, “Hai anak manusia, Aku mengutus engkau kepada bani Israel, kepada bangsa pemberontak yang telah memberontak terhadap Aku; mereka dan nenek moyang mereka telah melanggar terhadap Aku sampai pada hari ini juga. Sebab mereka adalah anak-anak yang keras muka dan keras hati. Aku mengutus engkau kepada mereka, dan engkau harus berkata kepada mereka: Beginilah firman Tuhan ALLAH. Dan mereka, entah mereka mau mendengar, entah mereka enggan, — sebab mereka adalah kaum pemberontak, — namun akan mengetahui bahwa ada seorang nabi di tengah-tengah mereka. Dan engkau, hai anak manusia, jangan takut kepada mereka, jangan pula takut kepada perkataan mereka, sekalipun semak duri dan onak ada besertamu dan engkau diam di antara kalajengking; jangan takut kepada perkataan mereka, dan jangan gentar melihat wajah mereka, sekalipun mereka adalah kaum pemberontak. Engkau harus menyampaikan firman-Ku kepada mereka, entah mereka mau mendengar, entah mereka enggan, sebab mereka sangat memberontak. Tetapi engkau, hai anak manusia, dengarkanlah apa yang Kukatakan kepadamu; janganlah engkau memberontak seperti kaum pemberontak itu: bukalah mulutmu, dan makanlah apa yang Kuberikan kepadamu.” Ketika aku melihat, tampaklah sebuah tangan terulur kepadaku; dan lihat, di dalamnya ada sebuah gulungan kitab. Lalu dibentangkannya itu di hadapanku; dan gulungan itu tertulis pada sebelah dalam dan sebelah luar; dan yang tertulis di dalamnya ialah ratapan, perkabungan, dan celaka. Selanjutnya Ia berfirman kepadaku, “Hai anak manusia, makanlah apa yang engkau dapati; makanlah gulungan ini, lalu pergilah, berbicaralah kepada kaum Israel.” Maka kubukalah mulutku, dan Ia membuat aku memakan gulungan itu. Dan Ia berfirman kepadaku, “Hai anak manusia, biarlah perutmu memakan, dan isi perutmu dipenuhi dengan gulungan yang Kuberikan kepadamu ini.” Lalu aku memakannya, dan di dalam mulutku rasanya manis seperti madu. Dan Ia berfirman kepadaku, “Hai anak manusia, pergilah kepada kaum Israel dan sampaikanlah firman-Ku kepada mereka. Sebab engkau tidak diutus kepada suatu bangsa yang asing bahasanya dan sukar bahasanya, melainkan kepada kaum Israel; bukan kepada banyak bangsa yang asing bahasanya dan sukar bahasanya, yang perkataannya tidak dapat engkau pahami. Sesungguhnya, sekiranya Aku mengutus engkau kepada mereka, niscaya mereka akan mendengarkan engkau. Tetapi kaum Israel tidak mau mendengarkan engkau, sebab mereka tidak mau mendengarkan Aku; karena seluruh kaum Israel keras muka dan keras hati. Lihat, Aku telah membuat wajahmu kuat menghadapi wajah mereka, dan dahimu kuat menghadapi dahi mereka. Seperti intan, lebih keras daripada batu api, telah Kubuat dahimu; jangan takut kepada mereka, dan jangan gentar melihat wajah mereka, sekalipun mereka adalah kaum pemberontak.” Selanjutnya Ia berfirman kepadaku, “Hai anak manusia, segala firman-Ku yang akan Kufirmankan kepadamu, terimalah dalam hatimu dan dengarkanlah dengan telingamu.” Yehezkiel 2:1–3:10.</w:t>
      </w:r>
    </w:p>
    <w:p>
      <w:pPr>
        <w:pStyle w:val="ArticleBody"/>
        <w:jc w:val="left"/>
      </w:pPr>
      <w:r>
        <w:rPr>
          <w:rFonts w:ascii="Times New Roman" w:hAnsi="Times New Roman" w:eastAsia="Times New Roman" w:cs="Times New Roman"/>
        </w:rPr>
        <w:t>Ketika Kristus turun dengan kitab kecil yang diambil dan dimakan oleh Yohanes, kitab itu ada di “mulutnya manis seperti madu.” Yohanes Sang Pewahyu dan Yehezkiel, keduanya menerima suatu pekabaran dari “tangan” Kristus. Yehezkiel, dan karena itu juga Yohanes, mempunyai suatu pekabaran untuk disampaikan kepada “kaum Israel,” bukan kepada mereka yang di luar Israel. Sekiranya mereka yang di luar Israel mendengar pekabaran itu, mereka akan menerimanya, tetapi tidak demikian dengan Israel, sebab “segenap kaum” Israel “bermuka tebal dan berhati keras.” Seluruh kaum Israel yang lengkap (segenap kaum) sama sekali memberontak. Israel pada tahun 1840 dilambangkan dalam Wahyu pasal sepuluh sebagai jemaat di padang gurun. Mereka telah memenuhi cawan masa percobaan mereka.</w:t>
      </w:r>
    </w:p>
    <w:p>
      <w:pPr>
        <w:pStyle w:val="ArticleBody"/>
        <w:jc w:val="left"/>
      </w:pPr>
      <w:r>
        <w:rPr>
          <w:rFonts w:ascii="Times New Roman" w:hAnsi="Times New Roman" w:eastAsia="Times New Roman" w:cs="Times New Roman"/>
        </w:rPr>
        <w:t>Ngenxa umyalezo wawungeyi kuva ngakwaSirayeli, umprofeti wayesayalelwe ukuba awuse kubo umyalezo wencwadi encinane, ngenjongo yokubabeka phantsi kwetyala ngenxa yokwala ukukhanya kwengelosi yokuqala. Ezincwadini zomgwebo, babemele babekwe phantsi kwetyala ngokwala ukuwuva umyalezo “womprofeti” owayebe “phakathi kwabo.” Ukwala umprofeti kukwala umyalezo awayewunikiwe umprofeti yingelosi uGabriyeli, naye ngokwakhe owawamkele loo myalezo kuKristu, yena owayewamkele kuYise. Xa uKristu wehla nomyalezo wencwadi encinane esesandleni saKhe, oko kwakuhambelana nexesha uMoya oyiNgcwele wehla ngalo ekubhaptizweni kwaKhe. Oko kwakufuziselwe kwangaphambili nguMoses etyholweni elivuthayo, yaye kwaloo mqondiso mnye wendlela okhoyo kuyo yonke intshukumo yohlaziyo.</w:t>
      </w:r>
    </w:p>
    <w:p>
      <w:pPr>
        <w:pStyle w:val="ArticleScripture"/>
        <w:jc w:val="left"/>
      </w:pPr>
      <w:r>
        <w:rPr>
          <w:rFonts w:ascii="Times New Roman" w:hAnsi="Times New Roman" w:eastAsia="Times New Roman" w:cs="Times New Roman"/>
        </w:rPr>
        <w:t>“Kerja Tuhan di bumi memperlihatkan, dari zaman ke zaman, suatu keserupaan yang mencolok dalam setiap reformasi besar atau gerakan keagamaan. Prinsip-prinsip perlakuan Allah terhadap manusia tetap sama sepanjang masa. Gerakan-gerakan penting pada masa kini memiliki padanannya dalam gerakan-gerakan pada masa lampau, dan pengalaman gereja pada zaman-zaman terdahulu mengandung pelajaran-pelajaran yang sangat berharga bagi zaman kita sendiri.” The Great Controversy, 343.</w:t>
      </w:r>
    </w:p>
    <w:p>
      <w:pPr>
        <w:pStyle w:val="ArticleBody"/>
        <w:jc w:val="left"/>
      </w:pPr>
      <w:r>
        <w:rPr>
          <w:rFonts w:ascii="Times New Roman" w:hAnsi="Times New Roman" w:eastAsia="Times New Roman" w:cs="Times New Roman"/>
        </w:rPr>
        <w:t>Keinaotan Okamanoni supurimasi Ottoman ta August 11, 1840, (di somtaon i John dohot Ezekiel manganhon buku na metmet na adong di “tangan” ni Kristus,) manandai “pangalehon huaso” tu barita ni surusuruan parjolo naung “sampai” tu “tingki ni ujung” di taon 1798. Barita i “dipalehon huaso” marhite pangujian tu patik panurirangan na ummuli sian angka Millerite; prinsip sataon sada ari. Dungi Kristus mamulai pajongjonghon ojahan ni bagas joro Millerite, songon naung binahenNa di pandidionNa.</w:t>
      </w:r>
    </w:p>
    <w:p>
      <w:pPr>
        <w:pStyle w:val="ArticleScripture"/>
        <w:jc w:val="left"/>
      </w:pPr>
      <w:r>
        <w:rPr>
          <w:rFonts w:ascii="Times New Roman" w:hAnsi="Times New Roman" w:eastAsia="Times New Roman" w:cs="Times New Roman"/>
        </w:rPr>
        <w:t>“Selelo se se thekeselang sa ga Nathanaele jaanong se ne sa tiisiwa, mme a araba a re, ‘Rabi, wena o Morwa Modimo; wena o Kgosi ya Iseraele.’ Jesu a mo fetola a re, ‘Ka ntlha ya gore ke go boleletse ka re, ke go bone fa tlase ga setlhare sa mofeige, a o a dumela? O tla bona dilo tse dikgolo go feta tseno.’ Mme a mo raya a re, ‘Ammaaruri, ammaaruri, ke lo raya ke re, Go tloga jaanong lo tla bona Legodimo le bulegile, le baengele ba Modimo ba tlhatloga ba bo ba fologa mo go Morwa Motho.’”</w:t>
      </w:r>
    </w:p>
    <w:p>
      <w:pPr>
        <w:pStyle w:val="ArticleScripture"/>
        <w:jc w:val="left"/>
      </w:pPr>
      <w:r>
        <w:rPr>
          <w:rFonts w:ascii="Times New Roman" w:hAnsi="Times New Roman" w:eastAsia="Times New Roman" w:cs="Times New Roman"/>
        </w:rPr>
        <w:t>“Dalam beberapa murid yang pertama ini, asas gereja Kristian sedang diletakkan melalui usaha peribadi. Yohanes mula-mula mengarahkan dua orang daripada murid-muridnya kepada Kristus. Kemudian salah seorang daripada mereka menemui seorang saudaranya, lalu membawanya kepada Kristus. Sesudah itu Dia memanggil Filipus untuk mengikut-Nya, dan Filipus pergi mencari Natanael.” Spirit of Prophecy, jilid 2, 66.</w:t>
      </w:r>
    </w:p>
    <w:p>
      <w:pPr>
        <w:pStyle w:val="ArticleBody"/>
        <w:jc w:val="left"/>
      </w:pPr>
      <w:r>
        <w:rPr>
          <w:rFonts w:ascii="Times New Roman" w:hAnsi="Times New Roman" w:eastAsia="Times New Roman" w:cs="Times New Roman"/>
        </w:rPr>
        <w:t>Khrista o theoletse ka la 11 Phatwe, 1840, a tshotse buka e nyenyane e butsweng mo seatleng sa Gagwe, seno se ne se setse se tshwantshitswe pele mo motsamaong wa phetogo wa hisitori ya ga Khrista mo lefatsheng, gonne motsamao mongwe le mongwe wa phetogo o na le matshwao a tsela a a tshwanang fela. Moše le motsamao wa phetogo o a neng a o etelela pele le bone ba ne ba na le lone letshwao leo la tsela. Maitemogelo a ga Moše kwa setlhatshaneng se se tukang a ne a tshwantsha Mowa o o Boitshepo o fologa ka nako ya kolobetso ya ga Khrista, mme seo sa bo se tshwantsha 1840, se le sone se bo se tshwantsha la 11 Lwetse, 2001, fa moengele yo o nonofileng wa Tshenolo 18 a ne a theoletse.</w:t>
      </w:r>
    </w:p>
    <w:p>
      <w:pPr>
        <w:pStyle w:val="ArticleBody"/>
        <w:jc w:val="left"/>
      </w:pPr>
      <w:r>
        <w:rPr>
          <w:rFonts w:ascii="Times New Roman" w:hAnsi="Times New Roman" w:eastAsia="Times New Roman" w:cs="Times New Roman"/>
        </w:rPr>
        <w:t>“</w:t>
      </w:r>
      <w:r>
        <w:rPr>
          <w:rFonts w:ascii="Myanmar Text" w:hAnsi="Myanmar Text" w:eastAsia="Myanmar Text" w:cs="Myanmar Text"/>
        </w:rPr>
        <w:t>ထွက်ပေါ်လာခြင်း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ပထမကောင်းကင်တမန်၏သတင်းစကားနှင့်၊</w:t>
      </w:r>
      <w:r>
        <w:rPr>
          <w:rFonts w:ascii="Times New Roman" w:hAnsi="Times New Roman" w:eastAsia="Times New Roman" w:cs="Times New Roman"/>
        </w:rPr>
        <w:t xml:space="preserve"> “</w:t>
      </w:r>
      <w:r>
        <w:rPr>
          <w:rFonts w:ascii="Myanmar Text" w:hAnsi="Myanmar Text" w:eastAsia="Myanmar Text" w:cs="Myanmar Text"/>
        </w:rPr>
        <w:t>ထွက်ပေါ်လာခြင်း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ဒုတိယကောင်းကင်တမန်၏သတင်းစကားနှင့်၊</w:t>
      </w:r>
      <w:r>
        <w:rPr>
          <w:rFonts w:ascii="Times New Roman" w:hAnsi="Times New Roman" w:eastAsia="Times New Roman" w:cs="Times New Roman"/>
        </w:rPr>
        <w:t xml:space="preserve"> “</w:t>
      </w:r>
      <w:r>
        <w:rPr>
          <w:rFonts w:ascii="Myanmar Text" w:hAnsi="Myanmar Text" w:eastAsia="Myanmar Text" w:cs="Myanmar Text"/>
        </w:rPr>
        <w:t>ထွက်ပေါ်လာခြင်း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တတိယကောင်းကင်တမန်၏သတင်းစကားတို့ကို</w:t>
      </w:r>
      <w:r>
        <w:rPr>
          <w:rFonts w:ascii="Times New Roman" w:hAnsi="Times New Roman" w:eastAsia="Times New Roman" w:cs="Times New Roman"/>
        </w:rPr>
        <w:t xml:space="preserve"> </w:t>
      </w:r>
      <w:r>
        <w:rPr>
          <w:rFonts w:ascii="Myanmar Text" w:hAnsi="Myanmar Text" w:eastAsia="Myanmar Text" w:cs="Myanmar Text"/>
        </w:rPr>
        <w:t>ကောင်းကင်တမန်များအားဖြင့်ပင်</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ပထမကောင်းကင်တမန်သည်</w:t>
      </w:r>
      <w:r>
        <w:rPr>
          <w:rFonts w:ascii="Times New Roman" w:hAnsi="Times New Roman" w:eastAsia="Times New Roman" w:cs="Times New Roman"/>
        </w:rPr>
        <w:t xml:space="preserve"> </w:t>
      </w:r>
      <w:r>
        <w:rPr>
          <w:rFonts w:ascii="Myanmar Text" w:hAnsi="Myanmar Text" w:eastAsia="Myanmar Text" w:cs="Myanmar Text"/>
        </w:rPr>
        <w:t>မိမိလက်ထဲတွင်</w:t>
      </w:r>
      <w:r>
        <w:rPr>
          <w:rFonts w:ascii="Times New Roman" w:hAnsi="Times New Roman" w:eastAsia="Times New Roman" w:cs="Times New Roman"/>
        </w:rPr>
        <w:t xml:space="preserve"> </w:t>
      </w:r>
      <w:r>
        <w:rPr>
          <w:rFonts w:ascii="Myanmar Text" w:hAnsi="Myanmar Text" w:eastAsia="Myanmar Text" w:cs="Myanmar Text"/>
        </w:rPr>
        <w:t>စာအုပ်ငယ်တစ်အုပ်ကို</w:t>
      </w:r>
      <w:r>
        <w:rPr>
          <w:rFonts w:ascii="Times New Roman" w:hAnsi="Times New Roman" w:eastAsia="Times New Roman" w:cs="Times New Roman"/>
        </w:rPr>
        <w:t xml:space="preserve"> </w:t>
      </w:r>
      <w:r>
        <w:rPr>
          <w:rFonts w:ascii="Myanmar Text" w:hAnsi="Myanmar Text" w:eastAsia="Myanmar Text" w:cs="Myanmar Text"/>
        </w:rPr>
        <w:t>ကိုင်ထား၏။</w:t>
      </w:r>
      <w:r>
        <w:rPr>
          <w:rFonts w:ascii="Times New Roman" w:hAnsi="Times New Roman" w:eastAsia="Times New Roman" w:cs="Times New Roman"/>
        </w:rPr>
        <w:t xml:space="preserve"> </w:t>
      </w:r>
      <w:r>
        <w:rPr>
          <w:rFonts w:ascii="Myanmar Text" w:hAnsi="Myanmar Text" w:eastAsia="Myanmar Text" w:cs="Myanmar Text"/>
        </w:rPr>
        <w:t>ဒုတိယကောင်းကင်တမန်သည်</w:t>
      </w:r>
      <w:r>
        <w:rPr>
          <w:rFonts w:ascii="Times New Roman" w:hAnsi="Times New Roman" w:eastAsia="Times New Roman" w:cs="Times New Roman"/>
        </w:rPr>
        <w:t xml:space="preserve"> </w:t>
      </w:r>
      <w:r>
        <w:rPr>
          <w:rFonts w:ascii="Myanmar Text" w:hAnsi="Myanmar Text" w:eastAsia="Myanmar Text" w:cs="Myanmar Text"/>
        </w:rPr>
        <w:t>မိမိလက်ထဲတွင်</w:t>
      </w:r>
      <w:r>
        <w:rPr>
          <w:rFonts w:ascii="Times New Roman" w:hAnsi="Times New Roman" w:eastAsia="Times New Roman" w:cs="Times New Roman"/>
        </w:rPr>
        <w:t xml:space="preserve"> </w:t>
      </w:r>
      <w:r>
        <w:rPr>
          <w:rFonts w:ascii="Myanmar Text" w:hAnsi="Myanmar Text" w:eastAsia="Myanmar Text" w:cs="Myanmar Text"/>
        </w:rPr>
        <w:t>ရေးသားချက်တစ်ခုကို</w:t>
      </w:r>
      <w:r>
        <w:rPr>
          <w:rFonts w:ascii="Times New Roman" w:hAnsi="Times New Roman" w:eastAsia="Times New Roman" w:cs="Times New Roman"/>
        </w:rPr>
        <w:t xml:space="preserve"> </w:t>
      </w:r>
      <w:r>
        <w:rPr>
          <w:rFonts w:ascii="Myanmar Text" w:hAnsi="Myanmar Text" w:eastAsia="Myanmar Text" w:cs="Myanmar Text"/>
        </w:rPr>
        <w:t>ကိုင်ထား၏။</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w:t>
      </w:r>
      <w:r>
        <w:rPr>
          <w:rFonts w:ascii="Myanmar Text" w:hAnsi="Myanmar Text" w:eastAsia="Myanmar Text" w:cs="Myanmar Text"/>
        </w:rPr>
        <w:t>မိမိလက်ထဲတွင်</w:t>
      </w:r>
      <w:r>
        <w:rPr>
          <w:rFonts w:ascii="Times New Roman" w:hAnsi="Times New Roman" w:eastAsia="Times New Roman" w:cs="Times New Roman"/>
        </w:rPr>
        <w:t xml:space="preserve"> </w:t>
      </w:r>
      <w:r>
        <w:rPr>
          <w:rFonts w:ascii="Myanmar Text" w:hAnsi="Myanmar Text" w:eastAsia="Myanmar Text" w:cs="Myanmar Text"/>
        </w:rPr>
        <w:t>စာလိပ်တစ်စောင်ကို</w:t>
      </w:r>
      <w:r>
        <w:rPr>
          <w:rFonts w:ascii="Times New Roman" w:hAnsi="Times New Roman" w:eastAsia="Times New Roman" w:cs="Times New Roman"/>
        </w:rPr>
        <w:t xml:space="preserve"> </w:t>
      </w:r>
      <w:r>
        <w:rPr>
          <w:rFonts w:ascii="Myanmar Text" w:hAnsi="Myanmar Text" w:eastAsia="Myanmar Text" w:cs="Myanmar Text"/>
        </w:rPr>
        <w:t>ကိုင်ထား၏။</w:t>
      </w:r>
      <w:r>
        <w:rPr>
          <w:rFonts w:ascii="Times New Roman" w:hAnsi="Times New Roman" w:eastAsia="Times New Roman" w:cs="Times New Roman"/>
        </w:rPr>
        <w:t xml:space="preserve"> </w:t>
      </w:r>
      <w:r>
        <w:rPr>
          <w:rFonts w:ascii="Myanmar Text" w:hAnsi="Myanmar Text" w:eastAsia="Myanmar Text" w:cs="Myanmar Text"/>
        </w:rPr>
        <w:t>နှစ်ဦး</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သုံးဦး၏</w:t>
      </w:r>
      <w:r>
        <w:rPr>
          <w:rFonts w:ascii="Times New Roman" w:hAnsi="Times New Roman" w:eastAsia="Times New Roman" w:cs="Times New Roman"/>
        </w:rPr>
        <w:t xml:space="preserve"> </w:t>
      </w:r>
      <w:r>
        <w:rPr>
          <w:rFonts w:ascii="Myanmar Text" w:hAnsi="Myanmar Text" w:eastAsia="Myanmar Text" w:cs="Myanmar Text"/>
        </w:rPr>
        <w:t>သက်သေခံချက်ပေါ်တွင်</w:t>
      </w:r>
      <w:r>
        <w:rPr>
          <w:rFonts w:ascii="Times New Roman" w:hAnsi="Times New Roman" w:eastAsia="Times New Roman" w:cs="Times New Roman"/>
        </w:rPr>
        <w:t xml:space="preserve"> </w:t>
      </w:r>
      <w:r>
        <w:rPr>
          <w:rFonts w:ascii="Myanmar Text" w:hAnsi="Myanmar Text" w:eastAsia="Myanmar Text" w:cs="Myanmar Text"/>
        </w:rPr>
        <w:t>သမ္မာတရားတစ်ရပ်ကို</w:t>
      </w:r>
      <w:r>
        <w:rPr>
          <w:rFonts w:ascii="Times New Roman" w:hAnsi="Times New Roman" w:eastAsia="Times New Roman" w:cs="Times New Roman"/>
        </w:rPr>
        <w:t xml:space="preserve"> </w:t>
      </w:r>
      <w:r>
        <w:rPr>
          <w:rFonts w:ascii="Myanmar Text" w:hAnsi="Myanmar Text" w:eastAsia="Myanmar Text" w:cs="Myanmar Text"/>
        </w:rPr>
        <w:t>တည်ထောင်ရသည်။</w:t>
      </w:r>
      <w:r>
        <w:rPr>
          <w:rFonts w:ascii="Times New Roman" w:hAnsi="Times New Roman" w:eastAsia="Times New Roman" w:cs="Times New Roman"/>
        </w:rPr>
        <w:t xml:space="preserve"> </w:t>
      </w:r>
      <w:r>
        <w:rPr>
          <w:rFonts w:ascii="Myanmar Text" w:hAnsi="Myanmar Text" w:eastAsia="Myanmar Text" w:cs="Myanmar Text"/>
        </w:rPr>
        <w:t>ကောင်းကင်တမန်သုံးပါးလုံးသည်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ထွက်ပေါ်လာချိန်၌ဖြစ်စေ၊</w:t>
      </w:r>
      <w:r>
        <w:rPr>
          <w:rFonts w:ascii="Times New Roman" w:hAnsi="Times New Roman" w:eastAsia="Times New Roman" w:cs="Times New Roman"/>
        </w:rPr>
        <w:t xml:space="preserve"> </w:t>
      </w:r>
      <w:r>
        <w:rPr>
          <w:rFonts w:ascii="Myanmar Text" w:hAnsi="Myanmar Text" w:eastAsia="Myanmar Text" w:cs="Myanmar Text"/>
        </w:rPr>
        <w:t>တန်ခိုးအပ်နှင်းခံရချိန်၌ဖြစ်စေ၊</w:t>
      </w:r>
      <w:r>
        <w:rPr>
          <w:rFonts w:ascii="Times New Roman" w:hAnsi="Times New Roman" w:eastAsia="Times New Roman" w:cs="Times New Roman"/>
        </w:rPr>
        <w:t xml:space="preserve"> </w:t>
      </w:r>
      <w:r>
        <w:rPr>
          <w:rFonts w:ascii="Myanmar Text" w:hAnsi="Myanmar Text" w:eastAsia="Myanmar Text" w:cs="Myanmar Text"/>
        </w:rPr>
        <w:t>မိမိတို့လက်ထဲတွင်</w:t>
      </w:r>
      <w:r>
        <w:rPr>
          <w:rFonts w:ascii="Times New Roman" w:hAnsi="Times New Roman" w:eastAsia="Times New Roman" w:cs="Times New Roman"/>
        </w:rPr>
        <w:t xml:space="preserve"> </w:t>
      </w:r>
      <w:r>
        <w:rPr>
          <w:rFonts w:ascii="Myanmar Text" w:hAnsi="Myanmar Text" w:eastAsia="Myanmar Text" w:cs="Myanmar Text"/>
        </w:rPr>
        <w:t>သတင်းစကားတစ်ရပ်စီကို</w:t>
      </w:r>
      <w:r>
        <w:rPr>
          <w:rFonts w:ascii="Times New Roman" w:hAnsi="Times New Roman" w:eastAsia="Times New Roman" w:cs="Times New Roman"/>
        </w:rPr>
        <w:t xml:space="preserve"> </w:t>
      </w:r>
      <w:r>
        <w:rPr>
          <w:rFonts w:ascii="Myanmar Text" w:hAnsi="Myanmar Text" w:eastAsia="Myanmar Text" w:cs="Myanmar Text"/>
        </w:rPr>
        <w:t>ကိုင်ဆောင်ထားကြသည်။</w:t>
      </w:r>
    </w:p>
    <w:p>
      <w:pPr>
        <w:pStyle w:val="ArticleBody"/>
        <w:jc w:val="left"/>
      </w:pPr>
      <w:r>
        <w:rPr>
          <w:rFonts w:ascii="Times New Roman" w:hAnsi="Times New Roman" w:eastAsia="Times New Roman" w:cs="Times New Roman"/>
        </w:rPr>
        <w:t>John le Ezekiel ba emela bao ba ileng ba ja molaetsa mohla molaetsa oa lengeloi la pele o ne o “matlafatsoa,” e leng letšoao la histori le fapaneng le nako eo molaetsa oa lengeloi la pele o ileng oa “fihla” ka 1798.</w:t>
      </w:r>
    </w:p>
    <w:p>
      <w:pPr>
        <w:pStyle w:val="ArticleBody"/>
        <w:jc w:val="left"/>
      </w:pPr>
      <w:r>
        <w:rPr>
          <w:rFonts w:ascii="Times New Roman" w:hAnsi="Times New Roman" w:eastAsia="Times New Roman" w:cs="Times New Roman"/>
        </w:rPr>
        <w:t>Perbezaan antara “kedatangan” sesuatu pekhabaran dengan “pemberian kuasa” kepadanya ialah suatu perbezaan yang amat penting untuk diperhatikan. Apabila kita meneliti petikan berikut, perhatikan bahawa tujuan malaikat pertama adalah sama dengan tujuan malaikat dalam Wahyu lapan belas yang menerangi bumi dengan kemuliaannya. Perhatikan juga bahawa setiap pekhabaran menimbulkan suatu pemisahan yang menghasilkan dua golongan penyembah.</w:t>
      </w:r>
    </w:p>
    <w:p>
      <w:pPr>
        <w:pStyle w:val="ArticleScripture"/>
        <w:jc w:val="left"/>
      </w:pPr>
      <w:r>
        <w:rPr>
          <w:rFonts w:ascii="Times New Roman" w:hAnsi="Times New Roman" w:eastAsia="Times New Roman" w:cs="Times New Roman"/>
        </w:rPr>
        <w:t>“Ndzi kombisiwile ku tsakela loku matilo hinkwawo a ma ri na kona eka ntirho lowu a wu endliwa emisaveni. Yesu a rhuma ntsumi ya matimba [ntsumi yo sungula] leswaku yi xika yi ya tsundzuxa vaaki va misava leswaku va tilulamisela ku vuya Kakwe ka vumbirhi. Loko ntsumi leyi yi suka emahlweni ka Yesu etilweni, ku vonakala loku hatimaka ngopfu swinene ni loku vangamaka a ku famba emahlweni ka yona. Ndzi byeriwile leswaku ntirho wa yona a ku ri ku voningisa misava hi ku vangama ka yona ni ku tsundzuxa vanhu hi vukarhi lebyi taka bya Xikwembu. Mintshungu yi amukele ku vonakala loku. Van’wana exikarhi ka vona a va vonaka va ri ni ku tiya lokukulu, kasi van’wana a va tsaka naswona va n’wiwile hi ku hlaveriwa. Hinkwavo lava amukeleke ku vonakala loku va hundzuluxele swikandza swa vona etilweni kutani va dzunisa Xikwembu. Hambileswi a ku hangalakisiwe ehenhla ka hinkwavo, van’wana va nghene ntsena ehansi ka nkucetelo wa kona, kambe a va ku amukelanga hi mbilu hinkwayo. Vo tala va tele hi vukarhi lebyikulu. Vafundhisi ni vanhu va hlangane ni lavo biha kutani va lwisana hi matimba ni ku vonakala loku a ku hangalasiwile hi ntsumi leyi ya matimba. Kambe hinkwavo lava ku amukeleke va tihambanise ni misava kutani va hlangana swinene un’wana ni un’wana.”</w:t>
      </w:r>
    </w:p>
    <w:p>
      <w:pPr>
        <w:pStyle w:val="ArticleScripture"/>
        <w:jc w:val="left"/>
      </w:pPr>
      <w:r>
        <w:rPr>
          <w:rFonts w:ascii="Times New Roman" w:hAnsi="Times New Roman" w:eastAsia="Times New Roman" w:cs="Times New Roman"/>
        </w:rPr>
        <w:t>“Setan mi yeŋinwana ni samunu bɛŋedɛ ni gɔɔlii kɛ ɛ boŋ na ni baa laalim keŋ kɛ bɛ yit bɔɔr kaŋ na niŋ pɔɔg. Kumpin kaŋ kɛ bɛ gbar li din tɔm ku bɛ yɛlɛi. M nyaa Wina’am malɛk bɛ tɛbɩg ni sugr pɔɔg la ka ɔ gɛɛrɛ laafii pɛlɛ-pɛlɛ ɔ nidib kaŋ kɛ bɛ yɔɔrɛ ba me, na ɔ sɔb ba bɔɔr ninsaalim kaŋ kɛ bɛ yiisɛ, ka saŋa kaŋ saŋmalis la yeli kaŋ yɛ Wina’am sanŋa yit ba tɛŋa. La ka nidib bɛŋedɛ kaŋ kɛ bɛ yɔɔrɛ ba noni Yesu la, bɛ pɛɛl saŋmalis la yeli la ni nyɛkɛ, ni fɔɔrɛ, ni nɛɛm, la malɛk yɔɔrɛ pɛrɩg ni ɔ nu’ug pɔɔg la sɔb yɛl kaŋ yaa laafii-zɔɔg la. Saŋa beoog pɔɔg la fɛɛr ni sun-pɛɛl ka Yesu la kɛ bɛ zɔɔrɛ li nɔɔrɛ ni ba me kaŋ kɛ bɛ yɔɔrɛ ba yɛ ɔ yɔɔrɛ-nidib.”</w:t>
      </w:r>
    </w:p>
    <w:p>
      <w:pPr>
        <w:pStyle w:val="ArticleScripture"/>
        <w:jc w:val="left"/>
      </w:pPr>
      <w:r>
        <w:rPr>
          <w:rFonts w:ascii="Times New Roman" w:hAnsi="Times New Roman" w:eastAsia="Times New Roman" w:cs="Times New Roman"/>
        </w:rPr>
        <w:t>“Ana ka ni lawmpuithlateho leh ringtuho chu an beisei hunah an Lalpa an hmuh loh avangin an thlamuan lohzia ka hmu. Hmaileh hun chu thup tûrin leh A mite chu thu relna hmunah hruai tûrin Pathianin a tum a ni. Krista lo kalna hun chiang tak puan chhuahna thuhrilna lo awm lo se chuan, Pathianin a ruat hnathawh chu a lo thleng thei lo vang. Setana chuan mi tam tak a hruai a, rorêlna leh khawvel tâwpna huna thil ropui tak takte chu hmaileh huna thleng tûr anga ngai tûrin a ti. Mite chu tun huna inbuatsaihnaa an ngawrh taka zawng tûrin hruai an nih a ngai a ni.”</w:t>
      </w:r>
    </w:p>
    <w:p>
      <w:pPr>
        <w:pStyle w:val="ArticleScripture"/>
        <w:jc w:val="left"/>
      </w:pPr>
      <w:r>
        <w:rPr>
          <w:rFonts w:ascii="Times New Roman" w:hAnsi="Times New Roman" w:eastAsia="Times New Roman" w:cs="Times New Roman"/>
        </w:rPr>
        <w:t>“Samnui ki ziah hnuin, vantirhkoh êng chu famkim taka lo dawn lo te chu thuchah hmuhsitute nên an inpawl a, beidawnte chungah nuihsan nêna an inhawng ta. Vantirhkohte chuan Krista zuitute tia inhriattîrtute dinhmun chu an lo ziak chhin. Hun tiam tak lo liam chu an fiah a, a tlat chhin a, mi tam tak chu inkhâwna tehchhin a nih a, tlin loh an ni tih hmuh an ni. Kristian an ni tih ringawt takin an sawi a; nimahsela, thil tam zâwkah Krista zui chu an tlin lo. Setana chuan Isua zuitu tia inhriattîrtute awm danah chuan a lawm hle.”</w:t>
      </w:r>
    </w:p>
    <w:p>
      <w:pPr>
        <w:pStyle w:val="ArticleScripture"/>
        <w:jc w:val="left"/>
      </w:pPr>
      <w:r>
        <w:rPr>
          <w:rFonts w:ascii="Times New Roman" w:hAnsi="Times New Roman" w:eastAsia="Times New Roman" w:cs="Times New Roman"/>
        </w:rPr>
        <w:t>“O be a ba sware mo. O ne a etele ba ntsi pele gore ba tlogele tsela e e tlhamaletseng, mme ba ne ba leka go tlhatlogela kwa legodimong ka tsela e nngwe. Baengele ba bona ba ba itshekileng le ba ba boitshepo ba tlhakanngwe le baleofi mo Sione le baitimokanyi ba ba ratang lefatshe. Ba ne ba ntse ba lebeletse barutwa ba boammaaruri ba ga Jesu; mme ba ba senyegileng ba ne ba ama ba ba boitshepo. Bao dipelo tsa bone di neng di tuka ka keletso e e tseneletseng ya go bona Jesu ba ne ba thibelwa ke ba ba ipolelang gore ke bakaulengwe ba bone gore ba se ka ba bua ka go tla ga Gagwe. Baengele ba leba tiragalo eo mme ba utlwela masalela a a neng a rata go bonala ga Morena wa bone botlhoko.”</w:t>
      </w:r>
    </w:p>
    <w:p>
      <w:pPr>
        <w:pStyle w:val="ArticleScripture"/>
        <w:jc w:val="left"/>
      </w:pPr>
      <w:r>
        <w:rPr>
          <w:rFonts w:ascii="Times New Roman" w:hAnsi="Times New Roman" w:eastAsia="Times New Roman" w:cs="Times New Roman"/>
        </w:rPr>
        <w:t>“Mnala wina wamphamvu [mngelo wachiwiri] anatumidwa kuti atsike padziko lapansi. Yesu anaika m’dzanja lake cholembedwa, ndipo pamene ankabwera padziko lapansi, analira kuti, ‘Babulo wagwa, wagwa.’ Kenako ndinaonanso okhumudwawo akukweza maso awo kumwamba, akuyang’ana ndi chikhulupiriro ndi chiyembekezo ku kuwonekera kwa Ambuye wawo. Koma ambiri anawoneka kukhala m’chikhalidwe cha umphawi wa nzeru, ngati ogona tulo; komabe ndinatha kuona chizindikiro cha chisoni chakuya pa nkhope zawo. Okhumudwawo anaona m’Malemba kuti iwo anali m’nthawi yochedwa, ndi kuti anayenera kuyembekezera moleza mtima kukwaniritsidwa kwa masomphenyawo. Umboni womwewo umene unawatsogolera kuyembekezera Ambuye wawo mu 1843, ndiwo unawatsogoleranso kuyembekezera Iye mu 1844. Komabe ndinaona kuti ambiri analibe mphamvu ija imene inasiyanitsa chikhulupiriro chawo mu 1843. Kukhumudwa kwawo kunafooketsa chikhulupiriro chawo.”</w:t>
      </w:r>
    </w:p>
    <w:p>
      <w:pPr>
        <w:pStyle w:val="ArticleScripture"/>
        <w:jc w:val="left"/>
      </w:pPr>
      <w:r>
        <w:rPr>
          <w:rFonts w:ascii="Times New Roman" w:hAnsi="Times New Roman" w:eastAsia="Times New Roman" w:cs="Times New Roman"/>
        </w:rPr>
        <w:t>“Mundi abantu ba Xikwembu va hlangana eka xirilo xa ntsumi ya vumbirhi, mavandla ya le tilweni ma xiyile hi ku tsakela lokukulu swinene mbuyelo wa rungula rero. Va vone vo tala lava a va tixixima hi vito ra Vakreste va hundzukela hi ku sandza ni hi ku hleka lava a va khunguvanyekile. Loko marito lawa ma huma emilon’wini ya ku hlekula, ‘A mi si tlhandlukela ehenhla!’ ntsumi yin’wana yi ma tsarile. Ntsumi yi te, ‘Va hleka Xikwembu.’ Ndzi kombisiwile endzhaku eka xidyoho lexi fanaka lexi endliweke eminkarhini ya khale. Eliya a a tlakusiwile a yisiwa etilweni, kutani nguvu yakwe yi wela Elixa. Kutani vantshwa vo homboloka, lava a va dyondzisiwe hi vatswari va vona ku sola munhu wa Xikwembu, va landzele Elixa, va huwelela hi ku n’wi hlekula, ‘Tlhandluka, wena nhloko yo va mpandla; tlhandluka, wena nhloko yo va mpandla.’ Hi ku endla sweswo, loko va rhukana nandza wa Yena, a va rhukana Xikwembu, kutani va kuma xigwevo xa vona kona kwalomo. Hi ndlela leyi fanaka, lava va hlekuleke ni ku sandza mianakanyo ya ku tlhandluka ka vakwetsimi, va ta endzeriwa hi vukarhi bya Xikwembu, naswona va ta endliwa va twa leswaku a hi mhaka yo olova ku tlangisa hi Muvumbi wa vona.</w:t>
      </w:r>
    </w:p>
    <w:p>
      <w:pPr>
        <w:pStyle w:val="ArticleScripture"/>
        <w:jc w:val="left"/>
      </w:pPr>
      <w:r>
        <w:rPr>
          <w:rFonts w:ascii="Times New Roman" w:hAnsi="Times New Roman" w:eastAsia="Times New Roman" w:cs="Times New Roman"/>
        </w:rPr>
        <w:t>“Jesu o ile a roma mangeloi a mangwe gore a fofe ka bofefo go tsosolosa le go nonotsha tumelo e e neng e feletse ya batho ba Gagwe, le go ba baakanyetsa go tlhaloganya molaetsa wa moengele wa bobedi le kgato ya botlhokwa e e neng e tla tloga e tsewa kwa legodimong. Ke ne ka bona mangeloi ano a amogela thata e kgolo le lesedi go tswa go Jesu, mme a fofela lefatshe ka bofefo go diragatsa thomo ya one ya go thusa moengele wa bobedi mo tirong ya gagwe. Lesedi le legolo le ne la phatsima mo godimo ga batho ba Modimo fa mangeloi a goa a re, ‘Bonang, Monyadi o etla; tswang lo ye go kopana le Ene.’ Foo ke ne ka bona bano ba ba neng ba swabisitswe ba nanoga mme ka tumalano le moengele wa bobedi ba itsise ba re, ‘Bonang, Monyadi o etla; tswang lo ye go kopana le Ene.’ Lesedi le le tswang mo mangeloi le ne la phunyeletsa lefifi gongwe le gongwe. Satane le mangeloi a gagwe ba ne ba batla go thibela lesedi leno gore le se ka la anama le go fitlhelela maikaelelo a lone. Ba ne ba nganga le mangeloi a legodimo, ba a bolelela gore Modimo o tsietse batho, le gore ka lesedi lotlhe la one le thata ya one ba ka se kgone go dira gore lefatshe le dumele gore Keresete o a tla. Mme le fa Satane a ne a leka go thiba tsela le go gogela megopolo ya batho kgakala le lesedi, mangeloi a Modimo a ne a tswelela ka tiro ya one….”</w:t>
      </w:r>
    </w:p>
    <w:p>
      <w:pPr>
        <w:pStyle w:val="ArticleScripture"/>
        <w:jc w:val="left"/>
      </w:pPr>
      <w:r>
        <w:rPr>
          <w:rFonts w:ascii="Times New Roman" w:hAnsi="Times New Roman" w:eastAsia="Times New Roman" w:cs="Times New Roman"/>
        </w:rPr>
        <w:t>“Seperti pelayanan Yesus berakhir di Tempat Kudus, lalu Ia masuk ke Tempat Mahakudus dan berdiri di hadapan tabut yang berisi hukum Allah, Ia mengutus seorang malaikat perkasa yang lain dengan suatu pekabaran ketiga kepada dunia. Sebuah gulungan ditempatkan di tangan malaikat itu, dan ketika ia turun ke bumi dengan kuasa dan kemuliaan, ia memaklumkan suatu amaran yang dahsyat, dengan ancaman yang paling mengerikan yang pernah disampaikan kepada manusia. Pekabaran ini dimaksudkan untuk menempatkan anak-anak Allah dalam kewaspadaan, dengan menunjukkan kepada mereka saat pencobaan dan kesesakan yang ada di hadapan mereka. Kata malaikat itu, ‘Mereka akan dibawa ke dalam pertempuran yang sengit dengan binatang itu dan patungnya. Satu-satunya harapan mereka akan hidup yang kekal ialah tetap teguh. Walaupun nyawa mereka dipertaruhkan, mereka mesti berpegang teguh pada kebenaran.’ Malaikat ketiga itu menutup pekabarannya demikian: ‘Di sinilah kesabaran orang-orang kudus: di sinilah mereka yang menuruti perintah-perintah Allah dan iman kepada Yesus.’ Ketika ia mengulangi kata-kata ini, ia menunjuk ke tempat kudus surgawi. Pikiran semua orang yang menerima pekabaran ini diarahkan kepada Tempat Mahakudus, tempat Yesus berdiri di hadapan tabut itu, melaksanakan pengantaraan-Nya yang terakhir bagi semua orang yang baginya kemurahan masih tinggal, dan bagi mereka yang dengan tidak mengetahui telah melanggar hukum Allah. Pendamaian ini diadakan bagi orang mati yang benar mahupun bagi orang hidup yang benar. Ini mencakup semua orang yang telah mati dengan mempercayai Kristus, tetapi yang, kerana belum menerima terang mengenai perintah-perintah Allah, telah berdosa dengan tidak mengetahui ketika melanggar ketetapan-ketetapannya.” Early Writings, 245–254.</w:t>
      </w:r>
    </w:p>
    <w:p>
      <w:pPr>
        <w:pStyle w:val="ArticleBody"/>
        <w:jc w:val="left"/>
      </w:pPr>
      <w:r>
        <w:rPr>
          <w:rFonts w:ascii="Times New Roman" w:hAnsi="Times New Roman" w:eastAsia="Times New Roman" w:cs="Times New Roman"/>
        </w:rPr>
        <w:t>Dalam beberapa halaman kemudian dalam buku yang sama, ketika membahas konsep-konsep yang sama sebagaimana baru saja dirujuk, Sister White menyatakan bahwa penolakan terhadap ketiga pekabaran dalam sejarah Millerite telah dilambangkan sebelumnya dalam sejarah Kristus. Di sana ia menyajikan dua saksi yang menunjukkan suatu proses pengujian yang progresif, yang menuntut kemenangan pada setiap ujian agar dapat melangkah kepada ujian berikutnya.</w:t>
      </w:r>
    </w:p>
    <w:p>
      <w:pPr>
        <w:pStyle w:val="ArticleScripture"/>
        <w:jc w:val="left"/>
      </w:pPr>
      <w:r>
        <w:rPr>
          <w:rFonts w:ascii="Times New Roman" w:hAnsi="Times New Roman" w:eastAsia="Times New Roman" w:cs="Times New Roman"/>
        </w:rPr>
        <w:t>“Saya melihat suatu rombongan yang berdiri dengan terjaga baik dan teguh, tidak memberi ruang sedikit pun kepada mereka yang hendak menggoncangkan iman tubuh jemaat yang telah ditegakkan. Allah memandang mereka dengan perkenan. Kepadaku diperlihatkan tiga langkah—pekabaran malaikat pertama, kedua, dan ketiga. Malaikat yang menyertaiku berkata, ‘Celakalah dia yang akan menggeser satu balok atau menggerakkan satu pasak dari pekabaran-pekabaran ini. Pengertian yang benar tentang pekabaran-pekabaran ini adalah sangat penting. Nasib jiwa-jiwa bergantung pada cara pekabaran-pekabaran itu diterima.’ Aku kembali dibawa menelusuri pekabaran-pekabaran ini, dan melihat betapa mahal umat Allah telah membeli pengalaman mereka. Pengalaman itu telah diperoleh melalui banyak penderitaan dan pergumulan yang berat. Allah telah memimpin mereka langkah demi langkah, sampai Ia menempatkan mereka di atas suatu landasan yang kokoh dan tak tergoyahkan. Aku melihat beberapa orang mendekati landasan itu dan memeriksa dasarnya. Sebagian dengan sukacita segera melangkah naik ke atasnya. Yang lain mulai mencari-cari kesalahan pada dasarnya. Mereka menghendaki agar diadakan perbaikan-perbaikan, maka landasan itu akan menjadi lebih sempurna, dan umat itu jauh lebih berbahagia. Sebagian turun dari landasan itu untuk memeriksanya dan menyatakan bahwa landasan itu diletakkan dengan keliru. Tetapi aku melihat bahwa hampir semuanya tetap berdiri teguh di atas landasan itu dan menasihati mereka yang telah turun agar menghentikan keluhan mereka; sebab Allah adalah Sang Pembangun Agung, dan mereka sedang melawan Dia. Mereka menceritakan kembali pekerjaan Allah yang ajaib, yang telah memimpin mereka kepada landasan yang teguh itu, dan dengan sehati mengangkat mata mereka ke langit serta dengan suara nyaring memuliakan Allah. Hal ini memengaruhi sebagian dari mereka yang telah mengeluh dan meninggalkan landasan itu, dan mereka dengan wajah yang rendah hati kembali melangkah naik ke atasnya.</w:t>
      </w:r>
    </w:p>
    <w:p>
      <w:pPr>
        <w:pStyle w:val="ArticleScripture"/>
        <w:jc w:val="left"/>
      </w:pPr>
      <w:r>
        <w:rPr>
          <w:rFonts w:ascii="Times New Roman" w:hAnsi="Times New Roman" w:eastAsia="Times New Roman" w:cs="Times New Roman"/>
        </w:rPr>
        <w:t>“Agu cyekyuma omu kubuulira okw’okubanza okw’okwija kwa Kristo. Yohaana akatumwa omu mwoyo n’obushoboorozi bwa Eliya [arikushushanya obutumwa bw’akaikuru ow’okubanza] kugira ategurire Yesu ekihanda. Abo abaagaanire obujurizi bwa Yohaana tibagasirwe n’enyegyesa za Yesu [arikushushanya obutumwa bw’akaikuru ow’okubiri]. Okuhakanisa kwabo obutumwa obwabuuriraga okwija Kwe kwabateeka ahu batasaasira kwakiira obuhame oburikukirayo amaani obw’okuba Ari Masiya. Sitaani akebembera abo abaagaanire obutumwa bwa Yohaana kugyenda n’okurushaho omu maisho, bakanga kandi babamba Kristo [arikushushanya obutumwa bw’akaikuru ow’okusatu]. Omu kukora batyo bakeeteeka ahu batasaasira kwakiira omugisha ogw’aha biro bya Pentekooti, [arikushushanya akaikuru w’omu Okushuuruurwa ikumi na munaana] ogwabandegyesize ekihanda eky’okutaaha omu butuuro oburikwera obw’omu iguru. Okutanduka kw’egitambaro y’omu rusengyero kworeka ngu ebihongwa n’emigenzo by’Abayudaaya tibikaali kukirwa. Ekitambo Ekikuru kikaba kimazire kuhongwayo kandi kyakiirwe, kandi Omwoyo Orikwera owashuuma aha biro bya Pentekooti akatwara ebiteekateeko by’abegyesibwa n’abairu omu butuuro oburikwera obw’aha nsi akabihindurira aha bw’omu iguru, ahu Yesu yaataahire n’amaraso Ge mwenye, kugira asheeshe aha begyesibwa Be emigasho y’okuyungirira Kwe. Kwonka Abayudaaya basigara omu mwirima gwona. Bafeerwa omushana gwona ogu baakubaire nibasa kuba bagire aha nteekateeka y’obujuni, kandi bakagyendera omu kwesiga ebihongwa byabo n’ebitambo byabo ebitaine mugasho. Obutuuro oburikwera obw’omu iguru bwabaire bumaze kutwara omwanya gw’obw’aha nsi, beitu bo tibabaire nibamanya okuhinduka okwo. N’ahabw’ekyo tibabashe kugasirwa n’obujuni bwa Kristo omu Kihika Ekyera.</w:t>
      </w:r>
    </w:p>
    <w:p>
      <w:pPr>
        <w:pStyle w:val="ArticleScripture"/>
        <w:jc w:val="left"/>
      </w:pPr>
      <w:r>
        <w:rPr>
          <w:rFonts w:ascii="Times New Roman" w:hAnsi="Times New Roman" w:eastAsia="Times New Roman" w:cs="Times New Roman"/>
        </w:rPr>
        <w:t>“Бурханыг няцааж, Христийг цовдолсон иудейчүүдийн явдлыг олон хүн айдас жигшилтэйгээр хардаг; мөн Түүний гутамшигт доромжлолын түүхийг уншихдаа өөрсдийгөө Түүнийг хайрладаг, Петр шиг Түүнээс няцаахгүй, эсвэл иудейчүүд шиг Түүнийг цовдлохгүй байсан хэмээн боддог. Гэвч бүх хүний зүрх сэтгэлийг уншдаг Бурхан тэдний Есүст хандсан гэж хэлдэг тэр хайрыг шалгалтад оруулсан. Эхний тэнгэрэлчийн мэдээ хэрхэн хүлээн авагдахыг бүх тэнгэр хамгийн гүн сонирхлоор ажигласан. Гэвч Есүсийг хайрладаг хэмээн тунхагладаг, загалмайн түүхийг уншихдаа нулимс унагадаг олон хүн Түүний ирэлтийн баярт мэдээг тохуурхан доромжилсон. Тэд уг мэдээг баяртайгаар хүлээн авахын оронд төөрөгдөл хэмээн зарласан. Тэд Түүний илрэлтийг хайрлагсдыг үзэн ядаж, сүмүүдээсээ хөөн гаргасан. Эхний мэдээг няцаасан хүмүүс хоёр дахь мэдээнээс ашиг хүртэж чадаагүй; мөн тэднийг итгэлээр Есүстэй хамт тэнгэрийн ариун сүмийн ариунаас ариун газарт ороход бэлтгэх ёстой байсан шөнө дундын хашхираанаас ч ашиг хүртээгүй. Урьдын хоёр мэдээг няцааснаар тэд өөрсдийн ойлголтыг тийм ихээр харанхуйруулсан тул ариунаас ариун газарт хүрэх замыг харуулдаг гурав дахь тэнгэрэлчийн мэдээнд тэд ямар ч гэрэл харж чаддаггүй. Иудейчүүд Есүсийг цовдолсон шиг нэр төдий сүмүүд эдгээр мэдээг цовдолсон тул тэд ариунаас ариун газарт хүрэх замын тухай ямар ч мэдлэггүй, тэндэх Есүсийн зуучлалаас ашиг хүртэж чадахгүй байгааг би харсан. Ашиггүй тахилуудаа өргөдөг байсан иудейчүүдийн адил тэд Есүсийн орхисон тасалгаанд өөрсдийн ашиггүй залбирлуудыг өргөдөг; харин энэ мэхэнд баяссан Сатан шашны дүр төрхийг өөртөө авч, өөрсдийгөө Христэд итгэгчид хэмээн тунхаглагч эдгээр хүмүүсийн оюун санааг өөртөө татан, өөрийн хүч чадал, тэмдгүүд, худал гайхамшгуудаар ажиллан, тэднийг өөрийн урхинд бат бэх барьдаг.” Early Writings, 258–261.</w:t>
      </w:r>
    </w:p>
    <w:p>
      <w:pPr>
        <w:pStyle w:val="ArticleBody"/>
        <w:jc w:val="left"/>
      </w:pPr>
      <w:r>
        <w:rPr>
          <w:rFonts w:ascii="Times New Roman" w:hAnsi="Times New Roman" w:eastAsia="Times New Roman" w:cs="Times New Roman"/>
        </w:rPr>
        <w:t>Ditemana tse di tswang mo bukeng ya Early Writings di ntse di rutwa gangwe le gape ka bodiredi jwa Future for America. Mme go na le boammaaruri jo ditemana tse di bo supang jo bo sa lemogiwang.</w:t>
      </w:r>
    </w:p>
    <w:p>
      <w:pPr>
        <w:pStyle w:val="ArticleBody"/>
        <w:jc w:val="left"/>
      </w:pPr>
      <w:r>
        <w:rPr>
          <w:rFonts w:ascii="Leelawadee UI" w:hAnsi="Leelawadee UI" w:eastAsia="Leelawadee UI" w:cs="Leelawadee UI"/>
        </w:rPr>
        <w:t>วางหมุดหมายแห่งประวัติศาสตร์ของขบวนการมิลเลอไรต์นั้นตั้งอยู่บนขบวนการปฏิรูปหลายประการในพระคัมภีร์</w:t>
      </w:r>
      <w:r>
        <w:rPr>
          <w:rFonts w:ascii="Times New Roman" w:hAnsi="Times New Roman" w:eastAsia="Times New Roman" w:cs="Times New Roman"/>
        </w:rPr>
        <w:t xml:space="preserve"> </w:t>
      </w:r>
      <w:r>
        <w:rPr>
          <w:rFonts w:ascii="Leelawadee UI" w:hAnsi="Leelawadee UI" w:eastAsia="Leelawadee UI" w:cs="Leelawadee UI"/>
        </w:rPr>
        <w:t>หากปราศจากความคุ้นเคยในระดับหนึ่งกับหมุดหมายที่พบในขบวนการปฏิรูปทุกขบวนการแล้ว</w:t>
      </w:r>
      <w:r>
        <w:rPr>
          <w:rFonts w:ascii="Times New Roman" w:hAnsi="Times New Roman" w:eastAsia="Times New Roman" w:cs="Times New Roman"/>
        </w:rPr>
        <w:t xml:space="preserve"> </w:t>
      </w:r>
      <w:r>
        <w:rPr>
          <w:rFonts w:ascii="Leelawadee UI" w:hAnsi="Leelawadee UI" w:eastAsia="Leelawadee UI" w:cs="Leelawadee UI"/>
        </w:rPr>
        <w:t>ก็เป็นไปได้น้อยทีเดียวที่ผู้ใดจะเข้าใจนัยสำคัญของความแตกต่างระหว่างเวลาที่ข่าวสารหนึ่ง</w:t>
      </w:r>
      <w:r>
        <w:rPr>
          <w:rFonts w:ascii="Times New Roman" w:hAnsi="Times New Roman" w:eastAsia="Times New Roman" w:cs="Times New Roman"/>
        </w:rPr>
        <w:t xml:space="preserve"> “</w:t>
      </w:r>
      <w:r>
        <w:rPr>
          <w:rFonts w:ascii="Leelawadee UI" w:hAnsi="Leelawadee UI" w:eastAsia="Leelawadee UI" w:cs="Leelawadee UI"/>
        </w:rPr>
        <w:t>มาถึง</w:t>
      </w:r>
      <w:r>
        <w:rPr>
          <w:rFonts w:ascii="Times New Roman" w:hAnsi="Times New Roman" w:eastAsia="Times New Roman" w:cs="Times New Roman"/>
        </w:rPr>
        <w:t xml:space="preserve">” </w:t>
      </w:r>
      <w:r>
        <w:rPr>
          <w:rFonts w:ascii="Leelawadee UI" w:hAnsi="Leelawadee UI" w:eastAsia="Leelawadee UI" w:cs="Leelawadee UI"/>
        </w:rPr>
        <w:t>กับเวลาที่ข่าวสารนั้น</w:t>
      </w:r>
      <w:r>
        <w:rPr>
          <w:rFonts w:ascii="Times New Roman" w:hAnsi="Times New Roman" w:eastAsia="Times New Roman" w:cs="Times New Roman"/>
        </w:rPr>
        <w:t xml:space="preserve"> “</w:t>
      </w:r>
      <w:r>
        <w:rPr>
          <w:rFonts w:ascii="Leelawadee UI" w:hAnsi="Leelawadee UI" w:eastAsia="Leelawadee UI" w:cs="Leelawadee UI"/>
        </w:rPr>
        <w:t>ได้รับฤทธิ์อำนาจ</w:t>
      </w:r>
      <w:r>
        <w:rPr>
          <w:rFonts w:ascii="Times New Roman" w:hAnsi="Times New Roman" w:eastAsia="Times New Roman" w:cs="Times New Roman"/>
        </w:rPr>
        <w:t xml:space="preserve">” </w:t>
      </w:r>
      <w:r>
        <w:rPr>
          <w:rFonts w:ascii="Leelawadee UI" w:hAnsi="Leelawadee UI" w:eastAsia="Leelawadee UI" w:cs="Leelawadee UI"/>
        </w:rPr>
        <w:t>และก็เป็นไปได้เช่นกันว่า</w:t>
      </w:r>
      <w:r>
        <w:rPr>
          <w:rFonts w:ascii="Times New Roman" w:hAnsi="Times New Roman" w:eastAsia="Times New Roman" w:cs="Times New Roman"/>
        </w:rPr>
        <w:t xml:space="preserve"> </w:t>
      </w:r>
      <w:r>
        <w:rPr>
          <w:rFonts w:ascii="Leelawadee UI" w:hAnsi="Leelawadee UI" w:eastAsia="Leelawadee UI" w:cs="Leelawadee UI"/>
        </w:rPr>
        <w:t>แม้หลายคนที่คุ้นเคยกับขบวนการปฏิรูปที่เป็นคู่ขนานกัน</w:t>
      </w:r>
      <w:r>
        <w:rPr>
          <w:rFonts w:ascii="Times New Roman" w:hAnsi="Times New Roman" w:eastAsia="Times New Roman" w:cs="Times New Roman"/>
        </w:rPr>
        <w:t xml:space="preserve"> </w:t>
      </w:r>
      <w:r>
        <w:rPr>
          <w:rFonts w:ascii="Leelawadee UI" w:hAnsi="Leelawadee UI" w:eastAsia="Leelawadee UI" w:cs="Leelawadee UI"/>
        </w:rPr>
        <w:t>อาจได้มองข้ามลักษณะสำคัญยิ่งบางประการของหมุดหมายต่าง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ในขบวนการปฏิรูปเหล่านั้นไป</w:t>
      </w:r>
    </w:p>
    <w:p>
      <w:pPr>
        <w:pStyle w:val="ArticleBody"/>
        <w:jc w:val="left"/>
      </w:pPr>
      <w:r>
        <w:rPr>
          <w:rFonts w:ascii="Times New Roman" w:hAnsi="Times New Roman" w:eastAsia="Times New Roman" w:cs="Times New Roman"/>
        </w:rPr>
        <w:t>“</w:t>
      </w:r>
      <w:r>
        <w:rPr>
          <w:rFonts w:ascii="Myanmar Text" w:hAnsi="Myanmar Text" w:eastAsia="Myanmar Text" w:cs="Myanmar Text"/>
        </w:rPr>
        <w:t>စကားကြီးခုနစ်သံ</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ဖြစ်ပျက်သော</w:t>
      </w:r>
      <w:r>
        <w:rPr>
          <w:rFonts w:ascii="Times New Roman" w:hAnsi="Times New Roman" w:eastAsia="Times New Roman" w:cs="Times New Roman"/>
        </w:rPr>
        <w:t xml:space="preserve"> </w:t>
      </w:r>
      <w:r>
        <w:rPr>
          <w:rFonts w:ascii="Myanmar Text" w:hAnsi="Myanmar Text" w:eastAsia="Myanmar Text" w:cs="Myanmar Text"/>
        </w:rPr>
        <w:t>အဖြစ်အပျက်များနှင့်</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w:t>
      </w:r>
      <w:r>
        <w:rPr>
          <w:rFonts w:ascii="Myanmar Text" w:hAnsi="Myanmar Text" w:eastAsia="Myanmar Text" w:cs="Myanmar Text"/>
        </w:rPr>
        <w:t>ဖြစ်ပျက်သော</w:t>
      </w:r>
      <w:r>
        <w:rPr>
          <w:rFonts w:ascii="Times New Roman" w:hAnsi="Times New Roman" w:eastAsia="Times New Roman" w:cs="Times New Roman"/>
        </w:rPr>
        <w:t xml:space="preserve"> </w:t>
      </w:r>
      <w:r>
        <w:rPr>
          <w:rFonts w:ascii="Myanmar Text" w:hAnsi="Myanmar Text" w:eastAsia="Myanmar Text" w:cs="Myanmar Text"/>
        </w:rPr>
        <w:t>အဖြစ်အပျက်များကို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မပိတ်မီ</w:t>
      </w:r>
      <w:r>
        <w:rPr>
          <w:rFonts w:ascii="Times New Roman" w:hAnsi="Times New Roman" w:eastAsia="Times New Roman" w:cs="Times New Roman"/>
        </w:rPr>
        <w:t xml:space="preserve"> </w:t>
      </w:r>
      <w:r>
        <w:rPr>
          <w:rFonts w:ascii="Myanmar Text" w:hAnsi="Myanmar Text" w:eastAsia="Myanmar Text" w:cs="Myanmar Text"/>
        </w:rPr>
        <w:t>အနည်းငယ်အချိန်တွင်</w:t>
      </w:r>
      <w:r>
        <w:rPr>
          <w:rFonts w:ascii="Times New Roman" w:hAnsi="Times New Roman" w:eastAsia="Times New Roman" w:cs="Times New Roman"/>
        </w:rPr>
        <w:t xml:space="preserve"> </w:t>
      </w:r>
      <w:r>
        <w:rPr>
          <w:rFonts w:ascii="Myanmar Text" w:hAnsi="Myanmar Text" w:eastAsia="Myanmar Text" w:cs="Myanmar Text"/>
        </w:rPr>
        <w:t>ဖွင့်လှစ်ပေးသော</w:t>
      </w:r>
      <w:r>
        <w:rPr>
          <w:rFonts w:ascii="Times New Roman" w:hAnsi="Times New Roman" w:eastAsia="Times New Roman" w:cs="Times New Roman"/>
        </w:rPr>
        <w:t xml:space="preserve"> </w:t>
      </w:r>
      <w:r>
        <w:rPr>
          <w:rFonts w:ascii="Myanmar Text" w:hAnsi="Myanmar Text" w:eastAsia="Myanmar Text" w:cs="Myanmar Text"/>
        </w:rPr>
        <w:t>အလင်းဖြစ်သည်။</w:t>
      </w:r>
      <w:r>
        <w:rPr>
          <w:rFonts w:ascii="Times New Roman" w:hAnsi="Times New Roman" w:eastAsia="Times New Roman" w:cs="Times New Roman"/>
        </w:rPr>
        <w:t xml:space="preserve"> “</w:t>
      </w:r>
      <w:r>
        <w:rPr>
          <w:rFonts w:ascii="Myanmar Text" w:hAnsi="Myanmar Text" w:eastAsia="Myanmar Text" w:cs="Myanmar Text"/>
        </w:rPr>
        <w:t>စကားကြီးခုနစ်သံ</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ကောင်းကင်တမန်တို့၏</w:t>
      </w:r>
      <w:r>
        <w:rPr>
          <w:rFonts w:ascii="Times New Roman" w:hAnsi="Times New Roman" w:eastAsia="Times New Roman" w:cs="Times New Roman"/>
        </w:rPr>
        <w:t xml:space="preserve"> </w:t>
      </w:r>
      <w:r>
        <w:rPr>
          <w:rFonts w:ascii="Myanmar Text" w:hAnsi="Myanmar Text" w:eastAsia="Myanmar Text" w:cs="Myanmar Text"/>
        </w:rPr>
        <w:t>သတင်းစကားများအောက်တွင်</w:t>
      </w:r>
      <w:r>
        <w:rPr>
          <w:rFonts w:ascii="Times New Roman" w:hAnsi="Times New Roman" w:eastAsia="Times New Roman" w:cs="Times New Roman"/>
        </w:rPr>
        <w:t xml:space="preserve"> </w:t>
      </w:r>
      <w:r>
        <w:rPr>
          <w:rFonts w:ascii="Myanmar Text" w:hAnsi="Myanmar Text" w:eastAsia="Myanmar Text" w:cs="Myanmar Text"/>
        </w:rPr>
        <w:t>ဖြစ်ပေါ်လာမည့်</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ဖော်ပြချက်တစ်ရပ်</w:t>
      </w:r>
      <w:r>
        <w:rPr>
          <w:rFonts w:ascii="Times New Roman" w:hAnsi="Times New Roman" w:eastAsia="Times New Roman" w:cs="Times New Roman"/>
        </w:rPr>
        <w:t xml:space="preserve">” </w:t>
      </w:r>
      <w:r>
        <w:rPr>
          <w:rFonts w:ascii="Myanmar Text" w:hAnsi="Myanmar Text" w:eastAsia="Myanmar Text" w:cs="Myanmar Text"/>
        </w:rPr>
        <w:t>ကိုလည်းကောင်း၊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အစဉ်အလာအတိုင်း</w:t>
      </w:r>
      <w:r>
        <w:rPr>
          <w:rFonts w:ascii="Times New Roman" w:hAnsi="Times New Roman" w:eastAsia="Times New Roman" w:cs="Times New Roman"/>
        </w:rPr>
        <w:t xml:space="preserve"> </w:t>
      </w:r>
      <w:r>
        <w:rPr>
          <w:rFonts w:ascii="Myanmar Text" w:hAnsi="Myanmar Text" w:eastAsia="Myanmar Text" w:cs="Myanmar Text"/>
        </w:rPr>
        <w:t>ထုတ်ဖော်ပြသမည့်</w:t>
      </w:r>
      <w:r>
        <w:rPr>
          <w:rFonts w:ascii="Times New Roman" w:hAnsi="Times New Roman" w:eastAsia="Times New Roman" w:cs="Times New Roman"/>
        </w:rPr>
        <w:t xml:space="preserve"> </w:t>
      </w:r>
      <w:r>
        <w:rPr>
          <w:rFonts w:ascii="Myanmar Text" w:hAnsi="Myanmar Text" w:eastAsia="Myanmar Text" w:cs="Myanmar Text"/>
        </w:rPr>
        <w:t>အနာဂတ်အဖြစ်အပျက်များ</w:t>
      </w:r>
      <w:r>
        <w:rPr>
          <w:rFonts w:ascii="Times New Roman" w:hAnsi="Times New Roman" w:eastAsia="Times New Roman" w:cs="Times New Roman"/>
        </w:rPr>
        <w:t xml:space="preserve">” </w:t>
      </w:r>
      <w:r>
        <w:rPr>
          <w:rFonts w:ascii="Myanmar Text" w:hAnsi="Myanmar Text" w:eastAsia="Myanmar Text" w:cs="Myanmar Text"/>
        </w:rPr>
        <w:t>ကိုလည်းကောင်း</w:t>
      </w:r>
      <w:r>
        <w:rPr>
          <w:rFonts w:ascii="Times New Roman" w:hAnsi="Times New Roman" w:eastAsia="Times New Roman" w:cs="Times New Roman"/>
        </w:rPr>
        <w:t xml:space="preserve"> </w:t>
      </w:r>
      <w:r>
        <w:rPr>
          <w:rFonts w:ascii="Myanmar Text" w:hAnsi="Myanmar Text" w:eastAsia="Myanmar Text" w:cs="Myanmar Text"/>
        </w:rPr>
        <w:t>ကိုယ်စားပြုသည်ဟု</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အသိပေးထားသည်။</w:t>
      </w:r>
      <w:r>
        <w:rPr>
          <w:rFonts w:ascii="Times New Roman" w:hAnsi="Times New Roman" w:eastAsia="Times New Roman" w:cs="Times New Roman"/>
        </w:rPr>
        <w:t xml:space="preserve"> “</w:t>
      </w:r>
      <w:r>
        <w:rPr>
          <w:rFonts w:ascii="Myanmar Text" w:hAnsi="Myanmar Text" w:eastAsia="Myanmar Text" w:cs="Myanmar Text"/>
        </w:rPr>
        <w:t>စကားကြီးခုနစ်သံ</w:t>
      </w:r>
      <w:r>
        <w:rPr>
          <w:rFonts w:ascii="Times New Roman" w:hAnsi="Times New Roman" w:eastAsia="Times New Roman" w:cs="Times New Roman"/>
        </w:rPr>
        <w:t xml:space="preserve">” </w:t>
      </w:r>
      <w:r>
        <w:rPr>
          <w:rFonts w:ascii="Myanmar Text" w:hAnsi="Myanmar Text" w:eastAsia="Myanmar Text" w:cs="Myanmar Text"/>
        </w:rPr>
        <w:t>အတွင်း၌</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လက္ခဏာအမှတ်တံဆိပ်</w:t>
      </w:r>
      <w:r>
        <w:rPr>
          <w:rFonts w:ascii="Times New Roman" w:hAnsi="Times New Roman" w:eastAsia="Times New Roman" w:cs="Times New Roman"/>
        </w:rPr>
        <w:t xml:space="preserve"> </w:t>
      </w:r>
      <w:r>
        <w:rPr>
          <w:rFonts w:ascii="Myanmar Text" w:hAnsi="Myanmar Text" w:eastAsia="Myanmar Text" w:cs="Myanmar Text"/>
        </w:rPr>
        <w:t>ပါရှိသည်။</w:t>
      </w:r>
    </w:p>
    <w:p>
      <w:pPr>
        <w:pStyle w:val="ArticleBody"/>
        <w:jc w:val="left"/>
      </w:pPr>
      <w:r>
        <w:rPr>
          <w:rFonts w:ascii="Times New Roman" w:hAnsi="Times New Roman" w:eastAsia="Times New Roman" w:cs="Times New Roman"/>
        </w:rPr>
        <w:t>“Tlhaloso ya ditiragalo” tse di diragetseng “tlase ga melaetsa ya moengele wa ntlha le wa bobedi,” di tshwantsha ditiragalo tse di diragalang tlase ga molaetsa wa moengele wa boraro. Fa Johane a ne a laelwa gore a se ka a kwala se marumo a supa a se buileng, taelo eo e ne e setse e tshwantsheditswe ke taelo e e neng ya newa Daniele ya go kana buka ya gagwe, gonne re bolelelwa gore morago ga gore “marumo a supa a buile ka mantswe a one, taelo e tla kwa go Johane jaaka e ne ya tla kwa go Daniele malebana le bukanyana: ‘Kana dilo tseo marumo a supa a di buileng.’”</w:t>
      </w:r>
    </w:p>
    <w:p>
      <w:pPr>
        <w:pStyle w:val="ArticleBody"/>
        <w:jc w:val="left"/>
      </w:pPr>
      <w:r>
        <w:rPr>
          <w:rFonts w:ascii="Times New Roman" w:hAnsi="Times New Roman" w:eastAsia="Times New Roman" w:cs="Times New Roman"/>
        </w:rPr>
        <w:t>Hesekiele na Johane ka bobedi ba bontšha batho ba Modimo ba e-ja molaetša ge ba matlafatšwa ke morongwa wa pele ka 1840, gomme moporofeta Jeremia yena o bontšha manyami ao a diregilego gare ga batho ba Modimo ge go bonagala molaetša wa morongwa wa pele o palelwa.</w:t>
      </w:r>
    </w:p>
    <w:p>
      <w:pPr>
        <w:pStyle w:val="ArticleScripture"/>
        <w:jc w:val="left"/>
      </w:pPr>
      <w:r>
        <w:rPr>
          <w:rFonts w:ascii="Times New Roman" w:hAnsi="Times New Roman" w:eastAsia="Times New Roman" w:cs="Times New Roman"/>
        </w:rPr>
        <w:t>Kata-kata-Mu telah didapati, lalu aku memakannya; dan firman-Mu bagiku menjadi kegirangan dan sukacita hatiku, sebab aku disebut dengan nama-Mu, ya TUHAN, Allah semesta alam. Aku tidak duduk dalam perkumpulan para pencemooh, dan tidak bersukaria; aku duduk seorang diri oleh karena tangan-Mu, sebab Engkau telah memenuhi aku dengan geram. Mengapakah penderitaanku terus-menerus, dan lukaku tidak tersembuhkan, yang enggan sembuh? Masakan Engkau bagiku sungguh-sungguh seperti dusta, seperti air yang mengecewakan? Sebab itu, beginilah firman TUHAN: Jika engkau kembali, maka Aku akan membawa engkau kembali, dan engkau akan berdiri di hadapan-Ku; dan jika engkau memisahkan yang berharga dari yang hina, engkau akan menjadi seperti mulut-Ku; biarlah mereka kembali kepadamu, tetapi janganlah engkau kembali kepada mereka. Dan Aku akan menjadikan engkau terhadap bangsa ini tembok tembaga yang berkubu; mereka akan berperang melawan engkau, tetapi tidak akan mengalahkan engkau; sebab Aku menyertai engkau untuk menyelamatkan engkau dan untuk melepaskan engkau, demikianlah firman TUHAN. Dan Aku akan melepaskan engkau dari tangan orang-orang fasik, dan Aku akan menebus engkau dari tangan orang-orang yang ganas. Yeremia 15:16–21.</w:t>
      </w:r>
    </w:p>
    <w:p>
      <w:pPr>
        <w:pStyle w:val="ArticleBody"/>
        <w:jc w:val="left"/>
      </w:pPr>
      <w:r>
        <w:rPr>
          <w:rFonts w:ascii="Times New Roman" w:hAnsi="Times New Roman" w:eastAsia="Times New Roman" w:cs="Times New Roman"/>
        </w:rPr>
        <w:t>Yeremiah telah menemukan kata-kata dari kitab kecil itu sebagaimana Yohanes dan Yehezkiel, dan ia pun telah memakan pekabaran itu, tetapi pekabaran itu telah menjadi suatu pekabaran (air) yang telah mengecewakan. Seolah-olah Allah telah berdusta, yang tentu saja mustahil, tetapi tuduhan tentang suatu “dusta” memberikan kunci untuk menempatkan Yeremiah pada kekecewaan Millerit pertama yang dilambangkan dalam Habakuk.</w:t>
      </w:r>
    </w:p>
    <w:p>
      <w:pPr>
        <w:pStyle w:val="ArticleScripture"/>
        <w:jc w:val="left"/>
      </w:pPr>
      <w:r>
        <w:rPr>
          <w:rFonts w:ascii="Times New Roman" w:hAnsi="Times New Roman" w:eastAsia="Times New Roman" w:cs="Times New Roman"/>
        </w:rPr>
        <w:t>Ndzi ta yima eka rindza ra mina, ndzi tiveka ehenhla ka xihondzo, ndzi langutisisa leswaku u ta vulavula na mina yini, ni leswaku mina ndzi ta hlamula yini loko ndzi tshinyiwa. Kutani Yehovha a ndzi hlamula, a ku: Tsala xivono, u xi endla xi tlhela xi va erivaleni ematshakeni, leswaku loyi a xi hlayaka a ta tsutsuma. Hikuva xivono xa ha ri xa nkarhi lowu vekiweke; kambe emakumu xi ta vulavula, xi nga ka xi nga hembi. Hambiloko xi hlwela, xi rindzele; hikuva hakunene xi ta ta, a xi nga hlweri. Habakuki 2:1–3.</w:t>
      </w:r>
    </w:p>
    <w:p>
      <w:pPr>
        <w:pStyle w:val="ArticleBody"/>
        <w:jc w:val="left"/>
      </w:pPr>
      <w:r>
        <w:rPr>
          <w:rFonts w:ascii="Times New Roman" w:hAnsi="Times New Roman" w:eastAsia="Times New Roman" w:cs="Times New Roman"/>
        </w:rPr>
        <w:t>Pono ya molaetsa wa moengele wa ntlha e ne ya kwalwa mo tšhateng ya batlhokomedi ba pele ya 1843 e e neng e kaediwa ke “seatla” sa Modimo.</w:t>
      </w:r>
    </w:p>
    <w:p>
      <w:pPr>
        <w:pStyle w:val="ArticleScripture"/>
        <w:jc w:val="left"/>
      </w:pPr>
      <w:r>
        <w:rPr>
          <w:rFonts w:ascii="Times New Roman" w:hAnsi="Times New Roman" w:eastAsia="Times New Roman" w:cs="Times New Roman"/>
        </w:rPr>
        <w:t>“Ndzi vonile leswaku chati ya 1843 a yi kongomisiwa hi voko ra Hosi, naswona a yi nga fanelanga ku cinciwa; leswaku tinhlayo a ti ri hilaha A a swi lava hakona; leswaku voko ra Yena a ri ri ehenhla ka yona naswona a ri fihla xihoxo eka tin’wana ta tinhlayo, leswaku ku nga vi na un’we la a ta swi vona, ku kondza voko ra Yena ri susiwa.” Early Writings, 74.</w:t>
      </w:r>
    </w:p>
    <w:p>
      <w:pPr>
        <w:pStyle w:val="ArticleBody"/>
        <w:jc w:val="left"/>
      </w:pPr>
      <w:r>
        <w:rPr>
          <w:rFonts w:ascii="Times New Roman" w:hAnsi="Times New Roman" w:eastAsia="Times New Roman" w:cs="Times New Roman"/>
        </w:rPr>
        <w:t>“Jiri a tɔgɔ” 1843 ɲɛlɛ ka taa tabele la, ani o de y’a to a bɛ wele ko 1843 tabele. A bɔra kɛnɛ 1842 la, Habakuk kɔnɔ ka sɛbɛn ko “aw ka yɛlɛma sɛbɛn, ka a kɛ kɛnɛ tabelew kan” la baarakɛcogo la. Yɛlɛma o ka kɛ kɛnɛ “tabelew” kan, ka taa jamana ye, o ye yira ko ni Matigi ye a bolo bɔ 1843 tabele la filikɛnen ma, o bɛ ɲɛnabɔ 1850 pionnierw tabele la. Filikɛnen o ye faamu fɔlɔ kɛ, ani Jeremi bɛ dencogo kɛ ninw ma minnu ye dencɛninw sɛbɛn dɔ dun 11 Ut 1840 la, ka bɔ ɲɛnamaya la waati min 1843 jiri a tɔgɔ tɛ se.</w:t>
      </w:r>
    </w:p>
    <w:p>
      <w:pPr>
        <w:pStyle w:val="ArticleBody"/>
        <w:jc w:val="left"/>
      </w:pPr>
      <w:r>
        <w:rPr>
          <w:rFonts w:ascii="Times New Roman" w:hAnsi="Times New Roman" w:eastAsia="Times New Roman" w:cs="Times New Roman"/>
        </w:rPr>
        <w:t>Ti Jeremiah da ka ïa ka kot rit ha ka snem 1840, ka la long “ka jingkmen bad ka jingkmen kaba khraw” jong ka dohnud jong u; hynrei haba ka jingbymman ka la poi, um shym la “kmen” shuh, bad u “shong marwei namar” ka “kti” jong U Blei. Ka kti jong U Blei ka la tap ïa “ka jingbakla ha ki katto katne ki nombor,” bad kumta ka la pynlong ïa u Jeremiah ban pyrkhat ba lehse U Blei u la lamler. Ka jingkular kaba la ai ha u Jeremiah ka long ba lada un “phai biang,” na ka jingsngewsih jong u, U Blei un pynlong ïa u Jeremiah kum “ka shyntur” jong U Blei. Lada u Jeremiah un phai sha U Blei na ka jingbymman jong u bad un ithuh ba u don ha ka por jingïai-ap jong ka pharshi shaphang ki shiphew tylli ki sotti, U Blei un pyndonkam ïa u kum u nongrah ktien uba shnong ha ka jaka jong U, uba yn ithuh thikna katno ka por ba ka jingïohi paw ka dei ban wan bad ym jingïai-ap shuh.</w:t>
      </w:r>
    </w:p>
    <w:p>
      <w:pPr>
        <w:pStyle w:val="ArticleBody"/>
        <w:jc w:val="left"/>
      </w:pPr>
      <w:r>
        <w:rPr>
          <w:rFonts w:ascii="Leelawadee UI" w:hAnsi="Leelawadee UI" w:eastAsia="Leelawadee UI" w:cs="Leelawadee UI"/>
        </w:rPr>
        <w:t>កិច្ចបំណងនៃការរៀបរាប់អង្គហេតុទាំងនេះនៅទីនេះ</w:t>
      </w:r>
      <w:r>
        <w:rPr>
          <w:rFonts w:ascii="Times New Roman" w:hAnsi="Times New Roman" w:eastAsia="Times New Roman" w:cs="Times New Roman"/>
        </w:rPr>
        <w:t xml:space="preserve"> </w:t>
      </w:r>
      <w:r>
        <w:rPr>
          <w:rFonts w:ascii="Leelawadee UI" w:hAnsi="Leelawadee UI" w:eastAsia="Leelawadee UI" w:cs="Leelawadee UI"/>
        </w:rPr>
        <w:t>គឺដើម្បីបញ្ជាក់ថា</w:t>
      </w:r>
      <w:r>
        <w:rPr>
          <w:rFonts w:ascii="Times New Roman" w:hAnsi="Times New Roman" w:eastAsia="Times New Roman" w:cs="Times New Roman"/>
        </w:rPr>
        <w:t xml:space="preserve"> </w:t>
      </w:r>
      <w:r>
        <w:rPr>
          <w:rFonts w:ascii="Leelawadee UI" w:hAnsi="Leelawadee UI" w:eastAsia="Leelawadee UI" w:cs="Leelawadee UI"/>
        </w:rPr>
        <w:t>ជាមួយនឹងសារទាំងអស់របស់ទេវតា</w:t>
      </w:r>
      <w:r>
        <w:rPr>
          <w:rFonts w:ascii="Times New Roman" w:hAnsi="Times New Roman" w:eastAsia="Times New Roman" w:cs="Times New Roman"/>
        </w:rPr>
        <w:t xml:space="preserve"> </w:t>
      </w:r>
      <w:r>
        <w:rPr>
          <w:rFonts w:ascii="Leelawadee UI" w:hAnsi="Leelawadee UI" w:eastAsia="Leelawadee UI" w:cs="Leelawadee UI"/>
        </w:rPr>
        <w:t>ការ</w:t>
      </w:r>
      <w:r>
        <w:rPr>
          <w:rFonts w:ascii="Times New Roman" w:hAnsi="Times New Roman" w:eastAsia="Times New Roman" w:cs="Times New Roman"/>
        </w:rPr>
        <w:t xml:space="preserve"> «</w:t>
      </w:r>
      <w:r>
        <w:rPr>
          <w:rFonts w:ascii="Leelawadee UI" w:hAnsi="Leelawadee UI" w:eastAsia="Leelawadee UI" w:cs="Leelawadee UI"/>
        </w:rPr>
        <w:t>មកដល់</w:t>
      </w:r>
      <w:r>
        <w:rPr>
          <w:rFonts w:ascii="Times New Roman" w:hAnsi="Times New Roman" w:eastAsia="Times New Roman" w:cs="Times New Roman"/>
        </w:rPr>
        <w:t xml:space="preserve">» </w:t>
      </w:r>
      <w:r>
        <w:rPr>
          <w:rFonts w:ascii="Leelawadee UI" w:hAnsi="Leelawadee UI" w:eastAsia="Leelawadee UI" w:cs="Leelawadee UI"/>
        </w:rPr>
        <w:t>និងការ</w:t>
      </w:r>
      <w:r>
        <w:rPr>
          <w:rFonts w:ascii="Times New Roman" w:hAnsi="Times New Roman" w:eastAsia="Times New Roman" w:cs="Times New Roman"/>
        </w:rPr>
        <w:t xml:space="preserve"> «</w:t>
      </w:r>
      <w:r>
        <w:rPr>
          <w:rFonts w:ascii="Leelawadee UI" w:hAnsi="Leelawadee UI" w:eastAsia="Leelawadee UI" w:cs="Leelawadee UI"/>
        </w:rPr>
        <w:t>ប្រទានអំណាច</w:t>
      </w:r>
      <w:r>
        <w:rPr>
          <w:rFonts w:ascii="Times New Roman" w:hAnsi="Times New Roman" w:eastAsia="Times New Roman" w:cs="Times New Roman"/>
        </w:rPr>
        <w:t xml:space="preserve">» </w:t>
      </w:r>
      <w:r>
        <w:rPr>
          <w:rFonts w:ascii="Leelawadee UI" w:hAnsi="Leelawadee UI" w:eastAsia="Leelawadee UI" w:cs="Leelawadee UI"/>
        </w:rPr>
        <w:t>របស់សារទាំងនោះ</w:t>
      </w:r>
      <w:r>
        <w:rPr>
          <w:rFonts w:ascii="Times New Roman" w:hAnsi="Times New Roman" w:eastAsia="Times New Roman" w:cs="Times New Roman"/>
        </w:rPr>
        <w:t xml:space="preserve"> </w:t>
      </w:r>
      <w:r>
        <w:rPr>
          <w:rFonts w:ascii="Leelawadee UI" w:hAnsi="Leelawadee UI" w:eastAsia="Leelawadee UI" w:cs="Leelawadee UI"/>
        </w:rPr>
        <w:t>បង្ហាញសារមួយអំពីជីវិតឬមរណភាព</w:t>
      </w:r>
      <w:r>
        <w:rPr>
          <w:rFonts w:ascii="Times New Roman" w:hAnsi="Times New Roman" w:eastAsia="Times New Roman" w:cs="Times New Roman"/>
        </w:rPr>
        <w:t xml:space="preserve"> </w:t>
      </w:r>
      <w:r>
        <w:rPr>
          <w:rFonts w:ascii="Leelawadee UI" w:hAnsi="Leelawadee UI" w:eastAsia="Leelawadee UI" w:cs="Leelawadee UI"/>
        </w:rPr>
        <w:t>ដែលបង្កើតអ្នកថ្វាយបង្គំពីរប្រភេទ។</w:t>
      </w:r>
      <w:r>
        <w:rPr>
          <w:rFonts w:ascii="Times New Roman" w:hAnsi="Times New Roman" w:eastAsia="Times New Roman" w:cs="Times New Roman"/>
        </w:rPr>
        <w:t xml:space="preserve"> </w:t>
      </w:r>
      <w:r>
        <w:rPr>
          <w:rFonts w:ascii="Leelawadee UI" w:hAnsi="Leelawadee UI" w:eastAsia="Leelawadee UI" w:cs="Leelawadee UI"/>
        </w:rPr>
        <w:t>ទេវតាទាំងបី</w:t>
      </w:r>
      <w:r>
        <w:rPr>
          <w:rFonts w:ascii="Times New Roman" w:hAnsi="Times New Roman" w:eastAsia="Times New Roman" w:cs="Times New Roman"/>
        </w:rPr>
        <w:t xml:space="preserve"> </w:t>
      </w:r>
      <w:r>
        <w:rPr>
          <w:rFonts w:ascii="Leelawadee UI" w:hAnsi="Leelawadee UI" w:eastAsia="Leelawadee UI" w:cs="Leelawadee UI"/>
        </w:rPr>
        <w:t>គឺជាបីជំហាននៃដំណើរការសាកល្បងមួយដែលរីកចម្រើនជាបន្តបន្ទាប់។</w:t>
      </w:r>
      <w:r>
        <w:rPr>
          <w:rFonts w:ascii="Times New Roman" w:hAnsi="Times New Roman" w:eastAsia="Times New Roman" w:cs="Times New Roman"/>
        </w:rPr>
        <w:t xml:space="preserve"> </w:t>
      </w:r>
      <w:r>
        <w:rPr>
          <w:rFonts w:ascii="Leelawadee UI" w:hAnsi="Leelawadee UI" w:eastAsia="Leelawadee UI" w:cs="Leelawadee UI"/>
        </w:rPr>
        <w:t>អ្វីដែលសំខាន់ជាងនេះសម្រាប់ចំណុចដែលយើងមានបំណងបញ្ជាក់</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ទោះបីជាការយល់ដឹងអំពីផ្គរលាន់ទាំងប្រាំពីរ</w:t>
      </w:r>
      <w:r>
        <w:rPr>
          <w:rFonts w:ascii="Times New Roman" w:hAnsi="Times New Roman" w:eastAsia="Times New Roman" w:cs="Times New Roman"/>
        </w:rPr>
        <w:t xml:space="preserve"> </w:t>
      </w:r>
      <w:r>
        <w:rPr>
          <w:rFonts w:ascii="Leelawadee UI" w:hAnsi="Leelawadee UI" w:eastAsia="Leelawadee UI" w:cs="Leelawadee UI"/>
        </w:rPr>
        <w:t>ត្រូវបានទទួលស្គាល់ភ្លាមៗបន្ទាប់ពីការមកដល់នៃ</w:t>
      </w:r>
      <w:r>
        <w:rPr>
          <w:rFonts w:ascii="Times New Roman" w:hAnsi="Times New Roman" w:eastAsia="Times New Roman" w:cs="Times New Roman"/>
        </w:rPr>
        <w:t xml:space="preserve"> «</w:t>
      </w:r>
      <w:r>
        <w:rPr>
          <w:rFonts w:ascii="Leelawadee UI" w:hAnsi="Leelawadee UI" w:eastAsia="Leelawadee UI" w:cs="Leelawadee UI"/>
        </w:rPr>
        <w:t>ពេលវេលាចុងបញ្ចប់</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1989 </w:t>
      </w:r>
      <w:r>
        <w:rPr>
          <w:rFonts w:ascii="Leelawadee UI" w:hAnsi="Leelawadee UI" w:eastAsia="Leelawadee UI" w:cs="Leelawadee UI"/>
        </w:rPr>
        <w:t>នៅពេលដែលខចុងក្រោយប្រាំមួយនៃព្រះគម្ពីរដានីយ៉ែល</w:t>
      </w:r>
      <w:r>
        <w:rPr>
          <w:rFonts w:ascii="Times New Roman" w:hAnsi="Times New Roman" w:eastAsia="Times New Roman" w:cs="Times New Roman"/>
        </w:rPr>
        <w:t xml:space="preserve"> </w:t>
      </w:r>
      <w:r>
        <w:rPr>
          <w:rFonts w:ascii="Leelawadee UI" w:hAnsi="Leelawadee UI" w:eastAsia="Leelawadee UI" w:cs="Leelawadee UI"/>
        </w:rPr>
        <w:t>ត្រូវបានបើកត្រា</w:t>
      </w:r>
      <w:r>
        <w:rPr>
          <w:rFonts w:ascii="Times New Roman" w:hAnsi="Times New Roman" w:eastAsia="Times New Roman" w:cs="Times New Roman"/>
        </w:rPr>
        <w:t xml:space="preserve"> </w:t>
      </w:r>
      <w:r>
        <w:rPr>
          <w:rFonts w:ascii="Leelawadee UI" w:hAnsi="Leelawadee UI" w:eastAsia="Leelawadee UI" w:cs="Leelawadee UI"/>
        </w:rPr>
        <w:t>ដោយប្រកាសអំពីការបិទបញ្ចប់នៃការជំនុំជម្រះក្តីក៏ដោយ</w:t>
      </w:r>
      <w:r>
        <w:rPr>
          <w:rFonts w:ascii="Times New Roman" w:hAnsi="Times New Roman" w:eastAsia="Times New Roman" w:cs="Times New Roman"/>
        </w:rPr>
        <w:t xml:space="preserve"> </w:t>
      </w:r>
      <w:r>
        <w:rPr>
          <w:rFonts w:ascii="Leelawadee UI" w:hAnsi="Leelawadee UI" w:eastAsia="Leelawadee UI" w:cs="Leelawadee UI"/>
        </w:rPr>
        <w:t>ក៏នៅមានការបើកត្រាមួយទៀតនៃផ្គរលាន់ទាំងប្រាំពីរ</w:t>
      </w:r>
      <w:r>
        <w:rPr>
          <w:rFonts w:ascii="Times New Roman" w:hAnsi="Times New Roman" w:eastAsia="Times New Roman" w:cs="Times New Roman"/>
        </w:rPr>
        <w:t xml:space="preserve"> </w:t>
      </w:r>
      <w:r>
        <w:rPr>
          <w:rFonts w:ascii="Leelawadee UI" w:hAnsi="Leelawadee UI" w:eastAsia="Leelawadee UI" w:cs="Leelawadee UI"/>
        </w:rPr>
        <w:t>នៅចុងបញ្ចប់នៃប្រវត្តិសាស្ត្ររបស់ទេវតាទីបី។</w:t>
      </w:r>
    </w:p>
    <w:p>
      <w:pPr>
        <w:pStyle w:val="ArticleBody"/>
        <w:jc w:val="left"/>
      </w:pPr>
      <w:r>
        <w:rPr>
          <w:rFonts w:ascii="Times New Roman" w:hAnsi="Times New Roman" w:eastAsia="Times New Roman" w:cs="Times New Roman"/>
        </w:rPr>
        <w:t>Historia ya mwanzo wa Uadventista huanza kwa kufunuliwa kwa malaika wa kwanza mwaka 1798, na huisha kwa kufunuliwa kwa ukweli ambao Bwana aliufunika kwa mkono Wake ili kuleta kukatishwa tamaa. Kisha akaondoa mkono Wake (akaufunua), na akaufunua ujumbe wa wakati wa kukawia.</w:t>
      </w:r>
    </w:p>
    <w:p>
      <w:pPr>
        <w:pStyle w:val="ArticleBody"/>
        <w:jc w:val="left"/>
      </w:pPr>
      <w:r>
        <w:rPr>
          <w:rFonts w:ascii="Leelawadee UI" w:hAnsi="Leelawadee UI" w:eastAsia="Leelawadee UI" w:cs="Leelawadee UI"/>
        </w:rPr>
        <w:t>ប្រវត្តិនៃការបញ្ចប់អាដវេនទីស៊ីមចាប់ផ្ដើមនៅពេលការបើកត្រាសាររបស់ទេវតាទីបីក្នុងឆ្នាំ</w:t>
      </w:r>
      <w:r>
        <w:rPr>
          <w:rFonts w:ascii="Times New Roman" w:hAnsi="Times New Roman" w:eastAsia="Times New Roman" w:cs="Times New Roman"/>
        </w:rPr>
        <w:t xml:space="preserve"> 1989 </w:t>
      </w:r>
      <w:r>
        <w:rPr>
          <w:rFonts w:ascii="Leelawadee UI" w:hAnsi="Leelawadee UI" w:eastAsia="Leelawadee UI" w:cs="Leelawadee UI"/>
        </w:rPr>
        <w:t>ហើយវាបញ្ចប់ដោយការបើកត្រាសេចក្ដីពិតមួយដែលព្រះអម្ចាស់បានដាក់ព្រះហស្តរបស់ទ្រង់គ្របពីលើ</w:t>
      </w:r>
      <w:r>
        <w:rPr>
          <w:rFonts w:ascii="Times New Roman" w:hAnsi="Times New Roman" w:eastAsia="Times New Roman" w:cs="Times New Roman"/>
        </w:rPr>
        <w:t xml:space="preserve"> </w:t>
      </w:r>
      <w:r>
        <w:rPr>
          <w:rFonts w:ascii="Leelawadee UI" w:hAnsi="Leelawadee UI" w:eastAsia="Leelawadee UI" w:cs="Leelawadee UI"/>
        </w:rPr>
        <w:t>ដើម្បីបង្កើតការខកចិត្តមួយ។</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ទ្រង់កំពុងដកព្រះហស្តរបស់ទ្រង់ចេញ</w:t>
      </w:r>
      <w:r>
        <w:rPr>
          <w:rFonts w:ascii="Times New Roman" w:hAnsi="Times New Roman" w:eastAsia="Times New Roman" w:cs="Times New Roman"/>
        </w:rPr>
        <w:t xml:space="preserve"> </w:t>
      </w:r>
      <w:r>
        <w:rPr>
          <w:rFonts w:ascii="Leelawadee UI" w:hAnsi="Leelawadee UI" w:eastAsia="Leelawadee UI" w:cs="Leelawadee UI"/>
        </w:rPr>
        <w:t>ដូច្នេះកំពុងបើកត្រាសារអំពីការខកចិត្តលើកទីមួយ</w:t>
      </w:r>
      <w:r>
        <w:rPr>
          <w:rFonts w:ascii="Times New Roman" w:hAnsi="Times New Roman" w:eastAsia="Times New Roman" w:cs="Times New Roman"/>
        </w:rPr>
        <w:t xml:space="preserve"> </w:t>
      </w:r>
      <w:r>
        <w:rPr>
          <w:rFonts w:ascii="Leelawadee UI" w:hAnsi="Leelawadee UI" w:eastAsia="Leelawadee UI" w:cs="Leelawadee UI"/>
        </w:rPr>
        <w:t>និងរយៈពេលពន្យារពេល។</w:t>
      </w:r>
      <w:r>
        <w:rPr>
          <w:rFonts w:ascii="Times New Roman" w:hAnsi="Times New Roman" w:eastAsia="Times New Roman" w:cs="Times New Roman"/>
        </w:rPr>
        <w:t xml:space="preserve"> </w:t>
      </w:r>
      <w:r>
        <w:rPr>
          <w:rFonts w:ascii="Leelawadee UI" w:hAnsi="Leelawadee UI" w:eastAsia="Leelawadee UI" w:cs="Leelawadee UI"/>
        </w:rPr>
        <w:t>ទ្រង់កំពុងបើកត្រាគោលបំណងនៃថ្ងៃទី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Ngokunjalo ithi iNkosi, Ukuba uyabuya, khona-ke ngiyakubuyisa futhi, futhi uyakuma phambi kwami; futhi uma ukhipha okuyigugu kokuyichilo, uyakuba njengomlomo wami; mababuyele kuwe, kodwa wena ungabuyeli kubo. Futhi ngiyakukwenza kulesi sizwe ube njengodonga oluqinile lwethusi; bayakulwa nawe, kodwa abayikukunqoba; ngokuba mina nginawe ukukusindisa nokukukhulula, isho iNkosi. Futhi ngiyakukukhulula esandleni sababi, futhi ngiyakukuhlenga esandleni sabesabekayo. Jeremiya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អនាគតសម្រាប់អាមេរិក និង​ថ្ងៃទី 18 ខែកក្កដា ឆ្នាំ 2020 - លេខ ២</dc:title>
  <dc:subject>Ukudla uMyalezo</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