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Lembali ya sephiri ya Temana ya Masomenne—Nomoro ya Boraro</w:t>
      </w:r>
    </w:p>
    <w:p>
      <w:pPr>
        <w:pStyle w:val="ArticleSubtitle"/>
        <w:jc w:val="left"/>
      </w:pPr>
      <w:r>
        <w:rPr>
          <w:rFonts w:ascii="Arial" w:hAnsi="Arial" w:eastAsia="Arial" w:cs="Arial"/>
        </w:rPr>
        <w:t>Undang-Undang Ahad dan Perjalanan Nubuat: Dari Akta Patriot ke Ujian Terakhir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“Ka ta ai dingin papacy a siam a, Pathian dan kalh in a tharh lehna thupek avangin, kan hnam hian felna nen a inthlahdah vek ang. Protestantism-in kut a thleng a, Roman thuneihna kut chu a man dawn a; hmun thuk ralmuanna chung lamah kut a thleng a, spiritualism nen kut a inhrang dawn a; he inzawmna pathum nei hian a thununna hnuaiah, kan ram hian a Constitution-a principle zawng zawng, Protestant leh republican sawrkar a nihna thu bulpui zawng zawng a hnawl a, papal thudik lo leh bumna hriattirna tihdarhna atan remruatna a siam angin, chutih hunah chuan Setana thilmak taka thawhna hun a lo thleng tawh a ni tih kan hre thei ang a, tawpna chu a hnaih tawh tih kan hre bawk ang.”</w:t>
      </w:r>
    </w:p>
    <w:p>
      <w:pPr>
        <w:pStyle w:val="ArticleScripture"/>
        <w:jc w:val="left"/>
      </w:pPr>
      <w:r>
        <w:rPr>
          <w:rFonts w:ascii="Times New Roman" w:hAnsi="Times New Roman" w:eastAsia="Times New Roman" w:cs="Times New Roman"/>
        </w:rPr>
        <w:t>“Sebagaimana pendekatan bala tentera Rom menjadi suatu tanda bagi murid-murid tentang kebinasaan Yerusalem yang hampir tiba, demikian juga kemurtadan ini boleh menjadi suatu tanda bagi kita bahawa batas kesabaran Allah telah tercapai, bahawa ukuran kefasikan bangsa kita telah penuh, dan bahawa malaikat belas kasihan hampir mengembangkan sayapnya untuk pergi, dan tidak akan kembali lagi. Umat Allah kemudian akan dicampakkan ke dalam adegan-adegan penderitaan dan kesesakan yang telah digambarkan oleh para nabi sebagai masa kesusahan Yakub. Seruan orang-orang setia yang teraniaya naik ke syurga. Dan sebagaimana darah Habel berseru dari tanah, demikian juga ada suara-suara yang berseru kepada Allah dari kubur para martir, dari pusara-pusara di laut, dari gua-gua gunung, dari ruang bawah tanah biara: ‘Berapa lama lagi, ya Tuhan, yang kudus dan benar, Engkau tidak menghakimi dan membalaskan darah kami atas mereka yang diam di bumi?’”</w:t>
      </w:r>
    </w:p>
    <w:p>
      <w:pPr>
        <w:pStyle w:val="ArticleScripture"/>
        <w:jc w:val="left"/>
      </w:pPr>
      <w:r>
        <w:rPr>
          <w:rFonts w:ascii="Times New Roman" w:hAnsi="Times New Roman" w:eastAsia="Times New Roman" w:cs="Times New Roman"/>
        </w:rPr>
        <w:t>“Tuhan sedang melakukan pekerjaan-Nya. Seluruh surga bergelora. Hakim seluruh bumi itu segera akan bangkit dan menegakkan otoritas-Nya yang telah dihina. Tanda pembebasan akan dibubuhkan pada orang-orang yang menuruti perintah-perintah Allah, yang menghormati hukum-Nya, dan yang menolak tanda binatang itu maupun patungnya.</w:t>
      </w:r>
    </w:p>
    <w:p>
      <w:pPr>
        <w:pStyle w:val="ArticleScripture"/>
        <w:jc w:val="left"/>
      </w:pPr>
      <w:r>
        <w:rPr>
          <w:rFonts w:ascii="Times New Roman" w:hAnsi="Times New Roman" w:eastAsia="Times New Roman" w:cs="Times New Roman"/>
        </w:rPr>
        <w:t>“Бурхан Өөрийн ард түмнийг эсэргүүцэл ба уур хилэнгийн шуурганы эсрэг зогсоход бэлтгэгдэхийн тулд эцсийн өдрүүдэд юу тохиолдохыг илчилсэн. Өмнө нь болох үйл явдлуудын талаар анхааруулга авсан хүмүүс ирэх шуургыг тайван хүлээн сууж, зовлонгийн өдөр Эзэн Өөрийн үнэнч хүмүүсийг халхална хэмээн өөрсдийгөө тайвшруулах ёсгүй. Бид Эзнээ хүлээж буй хүмүүсийн адил байх ёстой; хий дэмий хүлээлтээр бус, харин чин сэтгэлийн хөдөлмөрөөр, ганхашгүй итгэлтэйгээр. Одоо оюун санаагаа өчүүхэн ач холбогдолтой зүйлсэд автуулах цаг биш. Хүмүүс унтаж байх зуур Сатан Эзэний ард түмэнд өршөөл ч, шударга ёс ч хүрэхгүй байхаар нөхцөл байдлыг идэвхтэй зохицуулж байна. Ням гаргийн хөдөлгөөн одоо харанхуй дунд замаа гарган урагшилж байна. Удирдагчид жинхэнэ асуудлыг нуун далдалж байгаа бөгөөд энэ хөдөлгөөнд нэгдэж буй олон хүн өөрсдөө ч дотоод урсгал нь хаашаа чиглэж байгааг олж хардаггүй. Түүний мэдэгдлүүд зөөлөн бөгөөд өнгөц харахад Христийнх мэт боловч, ярьж эхлэхэд луугийн сүнсийг илчлэх болно. Аюул заналыг зайлуулахын тулд өөрсдийн хүч хүрэх бүхнийг хийх нь бидний үүрэг мөн. Бид ард түмний өмнө өөрсдийгөө зөв гэрэлд харуулснаар өрөөсгөл хандлагыг саармагжуулахыг чармайх ёстой. Ухамсрын эрх чөлөөг хязгаарлах арга хэмжээнүүдийн эсрэг хамгийн үр нөлөөтэй эсэргүүцлийг ийнхүү босгохын тулд бид маргааны жинхэнэ асуудлыг тэдний өмнө дэлгэн тавих ёстой. Бид Судруудыг нягтлан судалж, итгэлийнхээ учир шалтгааныг тайлбарлан өгч чаддаг байх ёстой. Эш үзүүлэгч ийнхүү хэлдэг: ‘Хорон муу хүмүүс хорон муугаа үйлдэх болно; хорон муу хүмүүсийн хэн нь ч ойлгохгүй; харин мэргэд ойлгоно.’ Гэрчлэлүүд, 5-р боть, 451, 452.”</w:t>
      </w:r>
    </w:p>
    <w:p>
      <w:pPr>
        <w:pStyle w:val="ArticleBody"/>
        <w:jc w:val="left"/>
      </w:pPr>
      <w:r>
        <w:rPr>
          <w:rFonts w:ascii="Times New Roman" w:hAnsi="Times New Roman" w:eastAsia="Times New Roman" w:cs="Times New Roman"/>
        </w:rPr>
        <w:t>Apo “Sunday movement” no “shall speak, it will reveal the spirit of the dragon.” Ka bynta saw ki pynithuh ba ha ka Sunday law ka United States “will disconnect herself fully from righteousness.” Ha ka Sunday law “the time has come for the marvelous working of Satan.” Ha ka Sunday law la pyndep ïa ka threefold union. Ha ka Sunday law ka United States “repudiates every principle of its Constitution as a Protestant republican government”, bad ruh ki “make provision for the propagation of papal falsehoods and delusions.” Kata ka Sunday law ka long ka “sign to us that the limit of God’s forbearance is reached, that the measure of our nation’s iniquity is full, and that the angel of mercy is about to take her flight, never to return.” Ia kata ka dak la pynshisha da ka jingmaham kaba U Jisu u la ai, kaba pynithuh ïa ka abomination of desolation spoken of by Daniel the prophet. Hangta keiñ la pyndep ïa ka jingïoh jingkyrpad kaba la ai da ki martyrs jong ka fifth seal kiba kylli, “How long, O Lord, holy and true, dost Thou not judge and avenge our blood on them that dwell on the earth?” Ka long ruh ha kata ka waymark ba ki foolish bad wise virgins ki pynpaw ïa ki jingïadei jong ki.</w:t>
      </w:r>
    </w:p>
    <w:p>
      <w:pPr>
        <w:pStyle w:val="ArticleBody"/>
        <w:jc w:val="left"/>
      </w:pPr>
      <w:r>
        <w:rPr>
          <w:rFonts w:ascii="Times New Roman" w:hAnsi="Times New Roman" w:eastAsia="Times New Roman" w:cs="Times New Roman"/>
        </w:rPr>
        <w:t>Pada hukum Ahad, Amerika Syarikat “menyangkal setiap prinsip Perlembagaannya.” Tempoh masa ketika pekerjaan ini dilaksanakan bermula dengan Akta Patriot pada tahun 2001. Tahun 2001 hingga hukum Ahad melambangkan suatu pekerjaan progresif menyangkal Perlembagaan. Pekerjaan progresif itu bersesuaian dengan garis nubuatan di mana pembentukan patung binatang itu disempurnakan. Garis patung binatang itu mungkin kelihatan sedikit lebih rumit, namun kerumitan itu wajar difahami. Yang merumitkan garis patung binatang itu ialah bahawa ia mewakili dua garis.</w:t>
      </w:r>
    </w:p>
    <w:p>
      <w:pPr>
        <w:pStyle w:val="ArticleBody"/>
        <w:jc w:val="left"/>
      </w:pPr>
      <w:r>
        <w:rPr>
          <w:rFonts w:ascii="Times New Roman" w:hAnsi="Times New Roman" w:eastAsia="Times New Roman" w:cs="Times New Roman"/>
        </w:rPr>
        <w:t>Untuk binatang bumi, kedua garis itu ialah tanduk Republikanisme dan Protestanisme. Kedua tanduk itu bergabung ke dalam suatu hubungan gereja-negara dan dengan demikian menggenapi pembentukan patung binatang itu. Oleh sebab itu, garis pembentukan patung binatang itu memiliki dua garis di dalam satu garis, karena tanduk Republikan dan Protestan berjalan sejajar satu dengan yang lain sepanjang sejarah, namun masing-masing garisnya juga memiliki kesaksian nubuatan tersendiri untuk dinyatakan. Satu garis nubuatan, dengan dua pokok bahasan yang sejajar, adalah lebih rumit daripada sekadar menandai penunjuk-penunjuk jalan dari tindakan-tindakan politik yang melambangkan pembicaraan yang berkaitan dengan Konstitusi.</w:t>
      </w:r>
    </w:p>
    <w:p>
      <w:pPr>
        <w:pStyle w:val="ArticleBody"/>
        <w:jc w:val="left"/>
      </w:pPr>
      <w:r>
        <w:rPr>
          <w:rFonts w:ascii="Times New Roman" w:hAnsi="Times New Roman" w:eastAsia="Times New Roman" w:cs="Times New Roman"/>
        </w:rPr>
        <w:t>Dua garis tanduk Republikan dan Protestan itu semakin dipersulit oleh fakta kenabian bahwa di dalam tanduk Republikan terdapat sejarah pergumulan antara Demokrat pro-perbudakan dan Republikan anti-perbudakan; dan lebih lanjut lagi, bahwa di dalam tanduk Protestan terdapat suatu proses pengujian yang terus-menerus, yang mengikuti gadis-gadis bijaksana dan gadis-gadis bodoh di dalam sejarah tanduk Protestan. Namun demikian, sangatlah penting untuk berakar teguh dalam kebenaran-kebenaran ini.</w:t>
      </w:r>
    </w:p>
    <w:p>
      <w:pPr>
        <w:pStyle w:val="ArticleBody"/>
        <w:jc w:val="left"/>
      </w:pPr>
      <w:r>
        <w:rPr>
          <w:rFonts w:ascii="Times New Roman" w:hAnsi="Times New Roman" w:eastAsia="Times New Roman" w:cs="Times New Roman"/>
        </w:rPr>
        <w:t>Di dalam garis yang dilambangkan oleh dua tanduk binatang bumi terdapat gambaran sejajar tentang pembentukan tabiat Kristus atau tabiat Setan, yang setara dengan pembentukan gambaran Kristus atau gambaran binatang itu, karena dalam konteks ini “binatang” melambangkan suatu makhluk ciptaan yang berlawanan dengan Sang Pencipta. Pembentukan sifat-sifat ini terlaksana secara internal di antara semua manusia, sebab ketika masa kasihan berakhir hanya ada dua golongan. Pembentukan itu juga terlaksana secara eksternal melalui persekutuan antara kuasa kepausan dan Perserikatan Bangsa-Bangsa.</w:t>
      </w:r>
    </w:p>
    <w:p>
      <w:pPr>
        <w:pStyle w:val="ArticleBody"/>
        <w:jc w:val="left"/>
      </w:pPr>
      <w:r>
        <w:rPr>
          <w:rFonts w:ascii="Times New Roman" w:hAnsi="Times New Roman" w:eastAsia="Times New Roman" w:cs="Times New Roman"/>
        </w:rPr>
        <w:t>Oleh itu, masa ujian bagi pembentukan patung binatang itu bermula pada tahun 2001, dan berakhir pada hukum hari Minggu di Amerika Syarikat. Dalam jangka waktu itu, sejarah nubuatan tentang kedua-dua tanduk binatang bumi tersebut menggambarkan suatu pertikaian dalaman dan luaran dalam tanduk masing-masing, sama ada bersifat keagamaan mahupun politik, dan juga suatu pergumulan antara kedua-dua tanduk itu sendiri.</w:t>
      </w:r>
    </w:p>
    <w:p>
      <w:pPr>
        <w:pStyle w:val="ArticleBody"/>
        <w:jc w:val="left"/>
      </w:pPr>
      <w:r>
        <w:rPr>
          <w:rFonts w:ascii="Times New Roman" w:hAnsi="Times New Roman" w:eastAsia="Times New Roman" w:cs="Times New Roman"/>
        </w:rPr>
        <w:t>Undang-undang Ahad di Amerika Syarikat melambangkan amaran untuk melarikan diri yang dikenal pasti oleh Yesus sebagai “kekejian yang membinasakan.” Undang-undang Ahad di Amerika Syarikat ialah penutup bagi tempoh yang bermula pada tahun 2001. Akta Patriot ialah “kekejian yang membinasakan, yang telah difirmankan oleh Nabi Daniel”, dan dikenal pasti oleh Yesus sebagai suatu tanda untuk melarikan diri daripada kebinasaan yang akan datang.</w:t>
      </w:r>
    </w:p>
    <w:p>
      <w:pPr>
        <w:pStyle w:val="ArticleBody"/>
        <w:jc w:val="left"/>
      </w:pPr>
      <w:r>
        <w:rPr>
          <w:rFonts w:ascii="Leelawadee UI" w:hAnsi="Leelawadee UI" w:eastAsia="Leelawadee UI" w:cs="Leelawadee UI"/>
        </w:rPr>
        <w:t>អំពើច្បាប់</w:t>
      </w:r>
      <w:r>
        <w:rPr>
          <w:rFonts w:ascii="Times New Roman" w:hAnsi="Times New Roman" w:eastAsia="Times New Roman" w:cs="Times New Roman"/>
        </w:rPr>
        <w:t xml:space="preserve"> Patriot </w:t>
      </w:r>
      <w:r>
        <w:rPr>
          <w:rFonts w:ascii="Leelawadee UI" w:hAnsi="Leelawadee UI" w:eastAsia="Leelawadee UI" w:cs="Leelawadee UI"/>
        </w:rPr>
        <w:t>រួមបញ្ចូលពន្លឺទំនាយនៃឆ្នាំ</w:t>
      </w:r>
      <w:r>
        <w:rPr>
          <w:rFonts w:ascii="Times New Roman" w:hAnsi="Times New Roman" w:eastAsia="Times New Roman" w:cs="Times New Roman"/>
        </w:rPr>
        <w:t xml:space="preserve"> 1888 </w:t>
      </w:r>
      <w:r>
        <w:rPr>
          <w:rFonts w:ascii="Leelawadee UI" w:hAnsi="Leelawadee UI" w:eastAsia="Leelawadee UI" w:cs="Leelawadee UI"/>
        </w:rPr>
        <w:t>និង</w:t>
      </w:r>
      <w:r>
        <w:rPr>
          <w:rFonts w:ascii="Times New Roman" w:hAnsi="Times New Roman" w:eastAsia="Times New Roman" w:cs="Times New Roman"/>
        </w:rPr>
        <w:t xml:space="preserve"> Blair Bill</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អំពើច្បាប់</w:t>
      </w:r>
      <w:r>
        <w:rPr>
          <w:rFonts w:ascii="Times New Roman" w:hAnsi="Times New Roman" w:eastAsia="Times New Roman" w:cs="Times New Roman"/>
        </w:rPr>
        <w:t xml:space="preserve"> Patriot </w:t>
      </w:r>
      <w:r>
        <w:rPr>
          <w:rFonts w:ascii="Leelawadee UI" w:hAnsi="Leelawadee UI" w:eastAsia="Leelawadee UI" w:cs="Leelawadee UI"/>
        </w:rPr>
        <w:t>ក៏ផ្ទុកនូវការជាតំណាងទំនាយនៃច្បាប់ថ្ងៃអាទិត្យផងដែរ</w:t>
      </w:r>
      <w:r>
        <w:rPr>
          <w:rFonts w:ascii="Times New Roman" w:hAnsi="Times New Roman" w:eastAsia="Times New Roman" w:cs="Times New Roman"/>
        </w:rPr>
        <w:t xml:space="preserve"> </w:t>
      </w:r>
      <w:r>
        <w:rPr>
          <w:rFonts w:ascii="Leelawadee UI" w:hAnsi="Leelawadee UI" w:eastAsia="Leelawadee UI" w:cs="Leelawadee UI"/>
        </w:rPr>
        <w:t>ដូច្នេះរយៈពេលចាប់ពីឆ្នាំ</w:t>
      </w:r>
      <w:r>
        <w:rPr>
          <w:rFonts w:ascii="Times New Roman" w:hAnsi="Times New Roman" w:eastAsia="Times New Roman" w:cs="Times New Roman"/>
        </w:rPr>
        <w:t xml:space="preserve"> 2001 </w:t>
      </w:r>
      <w:r>
        <w:rPr>
          <w:rFonts w:ascii="Leelawadee UI" w:hAnsi="Leelawadee UI" w:eastAsia="Leelawadee UI" w:cs="Leelawadee UI"/>
        </w:rPr>
        <w:t>ចាប់ផ្ដើមដោយច្បាប់ថ្ងៃអាទិត្យមួយ</w:t>
      </w:r>
      <w:r>
        <w:rPr>
          <w:rFonts w:ascii="Times New Roman" w:hAnsi="Times New Roman" w:eastAsia="Times New Roman" w:cs="Times New Roman"/>
        </w:rPr>
        <w:t xml:space="preserve"> </w:t>
      </w:r>
      <w:r>
        <w:rPr>
          <w:rFonts w:ascii="Leelawadee UI" w:hAnsi="Leelawadee UI" w:eastAsia="Leelawadee UI" w:cs="Leelawadee UI"/>
        </w:rPr>
        <w:t>ដូចដែលបានតំណាងជាមុនដោយ</w:t>
      </w:r>
      <w:r>
        <w:rPr>
          <w:rFonts w:ascii="Times New Roman" w:hAnsi="Times New Roman" w:eastAsia="Times New Roman" w:cs="Times New Roman"/>
        </w:rPr>
        <w:t xml:space="preserve"> 1888—Blair Bill, 2001—Patriot Act </w:t>
      </w:r>
      <w:r>
        <w:rPr>
          <w:rFonts w:ascii="Leelawadee UI" w:hAnsi="Leelawadee UI" w:eastAsia="Leelawadee UI" w:cs="Leelawadee UI"/>
        </w:rPr>
        <w:t>ហើយវាបញ្ចប់ដោយច្បាប់ថ្ងៃអាទិត្យ។</w:t>
      </w:r>
    </w:p>
    <w:p>
      <w:pPr>
        <w:pStyle w:val="ArticleBody"/>
        <w:jc w:val="left"/>
      </w:pPr>
      <w:r>
        <w:rPr>
          <w:rFonts w:ascii="Times New Roman" w:hAnsi="Times New Roman" w:eastAsia="Times New Roman" w:cs="Times New Roman"/>
        </w:rPr>
        <w:t>Tlhokomelo ya go tšhaba metse ka 2001 e swantšha tlhokomelo ya go tšhaba Babilona ka nako ya molao wa Lamorena. Kahlolo yeo e tlilego godimo ga United States ka nako ya molao wa Lamorena e swantšha kahlolo yeo e tlago godimo ga lefase ka moka ge Mikaele a ema gomme nako ya kgaugelo ya batho e tswalelwa. Mosaeno wa Kriste bjalo ka Alfa le Omega o emelwa gantši ka gare ga therešo tšeo di emelwago ke Molao wa Blair ka 1888, le tšohle tšeo 1888 e di emelago, di ipoeletša ka 2001.</w:t>
      </w:r>
    </w:p>
    <w:p>
      <w:pPr>
        <w:pStyle w:val="ArticleBody"/>
        <w:jc w:val="left"/>
      </w:pPr>
      <w:r>
        <w:rPr>
          <w:rFonts w:ascii="Times New Roman" w:hAnsi="Times New Roman" w:eastAsia="Times New Roman" w:cs="Times New Roman"/>
        </w:rPr>
        <w:t>2001, yang dilambangkan oleh 1888, bukan sahaja mewakili tanda untuk melarikan diri sebagaimana digambarkan oleh kekejian yang membinasakan, tetapi juga dilambangkan oleh tahun 66 M dan pengepungan oleh Cestius. Pengepungan oleh Titus pada tahun 70 M melambangkan hukum Ahad di Amerika Syarikat. Hukum Ahad di Amerika Syarikat dilambangkan oleh tahun 321 dan hukum Ahad pertama Constantine, dan 538 melambangkan saat bangsa terakhir di bumi tunduk kepada tanda binatang itu.</w:t>
      </w:r>
    </w:p>
    <w:p>
      <w:pPr>
        <w:pStyle w:val="ArticleBody"/>
        <w:jc w:val="left"/>
      </w:pPr>
      <w:r>
        <w:rPr>
          <w:rFonts w:ascii="Times New Roman" w:hAnsi="Times New Roman" w:eastAsia="Times New Roman" w:cs="Times New Roman"/>
        </w:rPr>
        <w:t>2001 ialah 1888, Cestius, dan tahun 66 M. Undang-undang Ahad ialah Titus dan tahun-tahun 70 dan 321. 2001 juga ialah pembaptisan Yesus, dan penurunan-Nya dalam Wahyu fasal sepuluh pada 11 Ogos 1840. Semua lambang ini menyumbang kepada garis Perlembagaan.</w:t>
      </w:r>
    </w:p>
    <w:p>
      <w:pPr>
        <w:pStyle w:val="ArticleBody"/>
        <w:jc w:val="left"/>
      </w:pPr>
      <w:r>
        <w:rPr>
          <w:rFonts w:ascii="Times New Roman" w:hAnsi="Times New Roman" w:eastAsia="Times New Roman" w:cs="Times New Roman"/>
        </w:rPr>
        <w:t>Embhiri ya uporofita ya United States i fambisana hi ku ringana ni embhiri ya Adventism. Hi 1798 vupapa byi amukele mbanga ya byona ya kufa, naswona 1798 a ku ri nkarhi wa makumu, loko xiavelo xa vuporofita bya Daniele lexi a xi fambelana ni embhiri ya ntsumi yo sungula ni ya vumbirhi ya Nhlavutelo 14 xi paluxiwile. Kwalaho hi 1798 ku funghiwile masungulo ya vuporofita ya Adventism, naswona hi 1798 xivandzana xa misava lexi nga ni timhondzo to fana ni ta xinyimpfana xi ve mfumo wa vutsevu wa vuporofita bya Bibele.</w:t>
      </w:r>
    </w:p>
    <w:p>
      <w:pPr>
        <w:pStyle w:val="ArticleBody"/>
        <w:jc w:val="left"/>
      </w:pPr>
      <w:r>
        <w:rPr>
          <w:rFonts w:ascii="Times New Roman" w:hAnsi="Times New Roman" w:eastAsia="Times New Roman" w:cs="Times New Roman"/>
        </w:rPr>
        <w:t>1798 e ne e etetswe pele ke matshwao a mararo a boporofeta a amanang le mola wa sebata sa lefatshe, ka hona le ho bua ha United States, le Molaotheo wa United States. Matshwao ao a mararo e ne e le Phatlalatso ya Boipuso, e boletsweng ka 1776, mme ha latela Molaotheo ka 1789, mme hape ha latela Melao ya Bajaki le ya Borabele ya 1798.</w:t>
      </w:r>
    </w:p>
    <w:p>
      <w:pPr>
        <w:pStyle w:val="ArticleBody"/>
        <w:jc w:val="left"/>
      </w:pPr>
      <w:r>
        <w:rPr>
          <w:rFonts w:ascii="Times New Roman" w:hAnsi="Times New Roman" w:eastAsia="Times New Roman" w:cs="Times New Roman"/>
        </w:rPr>
        <w:t>Tanda jalan yang tiga itu membicarakan garis nubuatan Perlembagaan dan menandai permulaan kerajaan keenam dalam nubuatan Alkitab. Undang-undang Ahad ialah pengakhiran pemerintahan kerajaan keenam dalam nubuatan Alkitab, dan oleh itu, berdasarkan keperluan nubuatan, mestilah ada tiga tanda jalan yang mendahului pengakhiran itu, sebagaimana dilambangkan oleh tiga tanda jalan yang mendahului permulaannya.</w:t>
      </w:r>
    </w:p>
    <w:p>
      <w:pPr>
        <w:pStyle w:val="ArticleBody"/>
        <w:jc w:val="left"/>
      </w:pPr>
      <w:r>
        <w:rPr>
          <w:rFonts w:ascii="Times New Roman" w:hAnsi="Times New Roman" w:eastAsia="Times New Roman" w:cs="Times New Roman"/>
        </w:rPr>
        <w:t>Pada tahun 2001, pada kejatuhan menara-menara itu, Patriot Act ditipologikan oleh Blair Bill tahun 1888, bersama-sama dengan pemberontakan yang nyata dari kepemimpinan Adventisme pada General Conference Minneapolis. Suatu pemberontakan yang seorang malaikat katakan kepada Sister White ditipologikan oleh pemberontakan terhadap Musa oleh Korah, Datan, dan Abiram, juga ditipologikan oleh baptisan Kristus pada tahun 27 M, pengekangan Islam pada 11 Agustus 1840, dan Declaration of Independence pada tahun 1776, demikian pula “pembinasa keji, yang disebut oleh nabi Daniel” sebagai suatu tanda untuk melarikan diri dari murka yang akan datang, sebagaimana dilambangkan oleh Cestius dan tahun 66 M.</w:t>
      </w:r>
    </w:p>
    <w:p>
      <w:pPr>
        <w:pStyle w:val="ArticleBody"/>
        <w:jc w:val="left"/>
      </w:pPr>
      <w:r>
        <w:rPr>
          <w:rFonts w:ascii="Times New Roman" w:hAnsi="Times New Roman" w:eastAsia="Times New Roman" w:cs="Times New Roman"/>
        </w:rPr>
        <w:t>Sekiranya anda masih dapat mengingati bahawa garis nubuatan yang sedang kita pertimbangkan sekarang ialah garis Perlembagaan Amerika Syarikat, maka semua garis nubuatan yang disebutkan terdahulu menyumbang kepada dan menegakkan tema nubuatan yang diwakili oleh garis Perlembagaan itu. Namun demikian, garis yang tampaknya paling saling berkaitan ialah garis pembentukan patung binatang itu. Patung binatang itu ialah suatu gambaran bagi binatang kepausan, yang dilambangkan sebagai seekor binatang dengan seorang perempuan memerintah atas binatang itu, iaitu gabungan gereja dan negara dengan gereja menguasai hubungan tersebut. Agar Amerika Syarikat membentuk suatu patung bagi binatang itu, Protestantisme murtad mesti sedemikian menguasai kerajaan sehingga kerajaan akan meluluskan dan menguatkuasakan undang-undang keagamaan, dan akhirnya undang-undang hari Ahad.</w:t>
      </w:r>
    </w:p>
    <w:p>
      <w:pPr>
        <w:pStyle w:val="ArticleBody"/>
        <w:jc w:val="left"/>
      </w:pPr>
      <w:r>
        <w:rPr>
          <w:rFonts w:ascii="Times New Roman" w:hAnsi="Times New Roman" w:eastAsia="Times New Roman" w:cs="Times New Roman"/>
        </w:rPr>
        <w:t>Nkaato ko kuremwa kw’ishusho y’inyamaswa kugenda kurarangira, Itegeko Nshinga, ryanditswe rifite ihame ry’ingenzi cyane Thomas Jefferson yanditseko ati “gutandukanya Itorero na Leta,” rigomba gukurwaho. Iyo ihembe ry’Abaporotesitanti rifite ububasha bwo kuyobora ihembe ry’Abaripubulikani ngo rishyire mu bikorwa amategeko y’idini, umutima nyir’izina w’Itegeko Nshinga uba ucagaguwe; bityo hakabaho isano y’ubuhanuzi iri hagati y’umurongo w’Itegeko Nshinga n’umurongo w’ishusho y’inyamaswa.</w:t>
      </w:r>
    </w:p>
    <w:p>
      <w:pPr>
        <w:pStyle w:val="ArticleBody"/>
        <w:jc w:val="left"/>
      </w:pP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ꯁꯦꯝꯂꯒꯥ</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2001 </w:t>
      </w:r>
      <w:r>
        <w:rPr>
          <w:rFonts w:ascii="Nirmala UI" w:hAnsi="Nirmala UI" w:eastAsia="Nirmala UI" w:cs="Nirmala UI"/>
        </w:rPr>
        <w:t>ꯇꯥꯕꯨꯡꯗꯥ</w:t>
      </w:r>
      <w:r>
        <w:rPr>
          <w:rFonts w:ascii="Times New Roman" w:hAnsi="Times New Roman" w:eastAsia="Times New Roman" w:cs="Times New Roman"/>
        </w:rPr>
        <w:t xml:space="preserve">, Patriot Act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ꯍꯧꯔꯛꯈꯤ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ꯄꯨꯁꯤꯟꯍꯜꯂꯤꯕ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ꯂꯣꯏꯁꯤꯟꯈꯤ꯫</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latter rain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ꯈꯨꯔꯨꯝ</w:t>
      </w:r>
      <w:r>
        <w:rPr>
          <w:rFonts w:ascii="Times New Roman" w:hAnsi="Times New Roman" w:eastAsia="Times New Roman" w:cs="Times New Roman"/>
        </w:rPr>
        <w:t xml:space="preserve"> </w:t>
      </w:r>
      <w:r>
        <w:rPr>
          <w:rFonts w:ascii="Nirmala UI" w:hAnsi="Nirmala UI" w:eastAsia="Nirmala UI" w:cs="Nirmala UI"/>
        </w:rPr>
        <w:t>ꯈꯨꯔꯨꯝꯅꯥ</w:t>
      </w:r>
      <w:r>
        <w:rPr>
          <w:rFonts w:ascii="Times New Roman" w:hAnsi="Times New Roman" w:eastAsia="Times New Roman" w:cs="Times New Roman"/>
        </w:rPr>
        <w:t xml:space="preserve"> </w:t>
      </w:r>
      <w:r>
        <w:rPr>
          <w:rFonts w:ascii="Nirmala UI" w:hAnsi="Nirmala UI" w:eastAsia="Nirmala UI" w:cs="Nirmala UI"/>
        </w:rPr>
        <w:t>ꯄꯤꯔꯛꯄꯅꯤ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latter rain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ꯍꯧꯔꯛꯄꯅꯤ</w:t>
      </w:r>
      <w:r>
        <w:rPr>
          <w:rFonts w:ascii="Times New Roman" w:hAnsi="Times New Roman" w:eastAsia="Times New Roman" w:cs="Times New Roman"/>
        </w:rPr>
        <w:t xml:space="preserve"> Revelation eighteen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ꯑꯁꯨꯝꯕꯥ</w:t>
      </w:r>
      <w:r>
        <w:rPr>
          <w:rFonts w:ascii="Times New Roman" w:hAnsi="Times New Roman" w:eastAsia="Times New Roman" w:cs="Times New Roman"/>
        </w:rPr>
        <w:t xml:space="preserve"> </w:t>
      </w:r>
      <w:r>
        <w:rPr>
          <w:rFonts w:ascii="Nirmala UI" w:hAnsi="Nirmala UI" w:eastAsia="Nirmala UI" w:cs="Nirmala UI"/>
        </w:rPr>
        <w:t>ꯎꯇ꯭ꯄꯗꯥ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ꯃꯥꯐꯝꯒꯤ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ꯃꯥꯡꯍꯟꯕ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Sister White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New York City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ꯌꯨꯝꯁꯤꯡ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ꯄ꯭ꯔꯕꯨꯒꯤ</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ꯄꯨꯛꯍꯠꯂꯛꯄ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ꯊꯣꯛꯀꯅꯤ꯫</w:t>
      </w:r>
    </w:p>
    <w:p>
      <w:pPr>
        <w:pStyle w:val="ArticleScripture"/>
        <w:jc w:val="left"/>
      </w:pPr>
      <w:r>
        <w:rPr>
          <w:rFonts w:ascii="Times New Roman" w:hAnsi="Times New Roman" w:eastAsia="Times New Roman" w:cs="Times New Roman"/>
        </w:rPr>
        <w:t>“Hujan akhir akan dicurahkan ke atas umat Tuhan. Seorang malaikat yang perkasa akan turun dari surga, dan seluruh bumi akan diterangi dengan kemuliaannya.” Review and Herald, 21 April 1891.</w:t>
      </w:r>
    </w:p>
    <w:p>
      <w:pPr>
        <w:pStyle w:val="ArticleBody"/>
        <w:jc w:val="left"/>
      </w:pPr>
      <w:r>
        <w:rPr>
          <w:rFonts w:ascii="Times New Roman" w:hAnsi="Times New Roman" w:eastAsia="Times New Roman" w:cs="Times New Roman"/>
        </w:rPr>
        <w:t>Nako ya go kgatšhelwa ga pula ya morago e emela sebaka sa nako seo ka sona korong le mefero ya moloko wa mafelelo wa Boadvente di hlwêkišwago le go ntšhwafšwa. Go hlwêkišwa le go ntšhwafšwa moo go fela molaong wa Sontaga, gomme barwedi ba bohlale bao ba nago le makhura ge tlalelo ya molao wa Sontaga e fihla, ba a swaiwa, gomme ka morago Moya o Mokgethwa o tšhollwa ka tekanyo ye e se nago moedi go fihlela Mikaele a ema gomme nako ya kgaugelo ya batho e tswalwa.</w:t>
      </w:r>
    </w:p>
    <w:p>
      <w:pPr>
        <w:pStyle w:val="ArticleBody"/>
        <w:jc w:val="left"/>
      </w:pPr>
      <w:r>
        <w:rPr>
          <w:rFonts w:ascii="Times New Roman" w:hAnsi="Times New Roman" w:eastAsia="Times New Roman" w:cs="Times New Roman"/>
        </w:rPr>
        <w:t>Semasa pembentukan patung binatang itu di Amerika Syarikat, hujan akhir akan sedang direnjiskan, dan semasa pembentukan patung binatang itu di dunia, hujan akhir akan dicurahkan tanpa ukuran.</w:t>
      </w:r>
    </w:p>
    <w:p>
      <w:pPr>
        <w:pStyle w:val="ArticleBody"/>
        <w:jc w:val="left"/>
      </w:pPr>
      <w:r>
        <w:rPr>
          <w:rFonts w:ascii="Times New Roman" w:hAnsi="Times New Roman" w:eastAsia="Times New Roman" w:cs="Times New Roman"/>
        </w:rPr>
        <w:t>Pada tahun 2001, pengujian terhadap gereja Masehi Advent Hari Ketujuh Laodikia dimulai, sebagaimana dilambangkan oleh kaum Protestan pada 11 Agustus 1840, dan oleh Israel kuno ketika Kristus dibaptiskan.</w:t>
      </w:r>
    </w:p>
    <w:p>
      <w:pPr>
        <w:pStyle w:val="ArticleScripture"/>
        <w:jc w:val="left"/>
      </w:pPr>
      <w:r>
        <w:rPr>
          <w:rFonts w:ascii="Times New Roman" w:hAnsi="Times New Roman" w:eastAsia="Times New Roman" w:cs="Times New Roman"/>
        </w:rPr>
        <w:t>“Masa ujian sudah tepat di hadapan kita, kerana seruan nyaring malaikat yang ketiga telah pun bermula dalam penyataan kebenaran Kristus, Penebus yang mengampunkan dosa. Inilah permulaan terang malaikat yang kemuliaannya akan memenuhi seluruh bumi.” Selected Messages, buku 1, 362.</w:t>
      </w:r>
    </w:p>
    <w:p>
      <w:pPr>
        <w:pStyle w:val="ArticleBody"/>
        <w:jc w:val="left"/>
      </w:pPr>
      <w:r>
        <w:rPr>
          <w:rFonts w:ascii="Times New Roman" w:hAnsi="Times New Roman" w:eastAsia="Times New Roman" w:cs="Times New Roman"/>
        </w:rPr>
        <w:t>Mokgwa wa bofelo wa teko bakeng sa batho ba kgolagano ya pele o simologa ge seetša sa morongwa wa Kutollo kgaolo ya lesomeseswai se thoma go bea molaetša wa Gagwe. Molaetša wa gagwe o emelwa gape mo ditemaneng tše tharo tša pele tša kgaolo ya lesomeseswai ya Kutollo, gomme ditemana tšeo tše tharo di be di, go ya ka Sister White, phethagaditšwe ge meago ye megolo ya Motse wa New York e wa.</w:t>
      </w:r>
    </w:p>
    <w:p>
      <w:pPr>
        <w:pStyle w:val="ArticleBody"/>
        <w:jc w:val="left"/>
      </w:pPr>
      <w:r>
        <w:rPr>
          <w:rFonts w:ascii="Times New Roman" w:hAnsi="Times New Roman" w:eastAsia="Times New Roman" w:cs="Times New Roman"/>
        </w:rPr>
        <w:t>Proses ujian itu pun bermula, sebagaimana dilambangkan oleh Yohanes dalam pasal sepuluh kitab Wahyu. Ujian itu ialah sama ada engkau akan mengambil kitab kecil yang ada di tangan malaikat itu, lalu memakannya. Dalam tempoh ujian ini, sementara hujan akhir sedang direnjiskan, hujan itu hanya turun ke atas mereka yang memilih untuk mengambil kitab kecil itu dan memakannya.</w:t>
      </w:r>
    </w:p>
    <w:p>
      <w:pPr>
        <w:pStyle w:val="ArticleScripture"/>
        <w:jc w:val="left"/>
      </w:pPr>
      <w:r>
        <w:rPr>
          <w:rFonts w:ascii="Times New Roman" w:hAnsi="Times New Roman" w:eastAsia="Times New Roman" w:cs="Times New Roman"/>
        </w:rPr>
        <w:t>“Ba bantsi ba paletswe ka tekanyo e kgolo go amogela pula ya pele. Ga ba ise ba bone melemo yotlhe e Modimo a ba e baakanyeditseng ka tsela eo. Ba lebeletse gore tlhaelo eo e tla tlamelwa ke pula ya morago. Fa letlotlo le le humileng thata la tshegofatso le tla bo le abelwa, ba ikaelela go bula dipelo tsa bone gore ba le amogele. Ba dira phoso e e boitshegang. Tiro e Modimo a e simolotseng mo pelong ya motho ka go mo naya lesedi le kitso e tshwanetse go tswelela pele ka metlha. Motho mongwe le mongwe o tshwanetse go lemoga tlhokego ya gagwe ka sebele. Pelo e tshwanetse go ntshiwa tsotlhe tsotlhe tsotlhe tse di leswe mme e itshekisiwe gore Moya o nne mo go yone. E ne e le ka boipobolo le go tlogela boleo, ka thapelo e e tlhoafetseng le ka go ineela ga bone mo go Modimo, fa barutwa ba ntlha ba ne ba ipaakanyetsa go tshololelwa ga Moya o o Boitshepo ka Letsatsi la Pentekoste. Tiro e e tshwanang, fela ka selekanyo se segolo go feta, e tshwanetse go dirwa jaanong. Foo moemedi wa motho o ne a tshwanetse fela go kopa tshegofatso, le go leta Morena gore a diragatse tiro e e mo amang. Ke Modimo yo o simolotseng tiro, mme O tla fetsa tiro ya Gagwe, a dira motho gore a felele mo go Jesu Keresete. Mme ga go a tshwanela go nna le go tlhokomologa tshegofatso e e emelwang ke pula ya pele. Ke fela ba ba tshelang go ya ka lesedi le ba nang nalo ba ba tla amogelang lesedi le legolo go feta. Fa re sa tswelele letsatsi le letsatsi mo go bontsheng maitsholo a a dirang a Bokeresete, ga re kitla re lemoga diponatshego tsa Moya o o Boitshepo mo puleng ya morago. E ka tswa e na mo dipelong tsotlhe tsotlhe tse di re dikologileng, mme ga re kitla re e lemoga kgotsa go e amogela.” Testimonies to Ministers, 506, 507.</w:t>
      </w:r>
    </w:p>
    <w:p>
      <w:pPr>
        <w:pStyle w:val="ArticleBody"/>
        <w:jc w:val="left"/>
      </w:pPr>
      <w:r>
        <w:rPr>
          <w:rFonts w:ascii="Times New Roman" w:hAnsi="Times New Roman" w:eastAsia="Times New Roman" w:cs="Times New Roman"/>
        </w:rPr>
        <w:t>Ba ba jele molaetsa oa 2001 ba ne ba amohela molaetsa o loketseng nako eo, empa ba ne ba tshwanetse ho lekwa e le hore ho bonahale hore na kannete ba kentse molaetsa oo kahare ho boiphihlelo bo lokiselitsoeng tiiso ea Molimo. Ka hona, nakong eo pula ea morao e emeloa e le ho fafatsa, hobane koro le mofoka li sa ntse li le hammoho. Ka lebaka leo, Morali’abo rona White o re, “E ka ’na eaba e oela holim’a lipelo tse re potolohileng ka mahlakoreng ’ohle, empa re ke ke ra e lemoha kapa ra e amohela.” Ha ba bohlale ba aroloa ho ba maoatla, joale pula ea morao e tšolleloa ntle ho tekanyo, joalokaha ho bile ka Pentekonta, e leng setšoantšo sa molao oa Sontaha.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อีกครั้งหนึ่ง</w:t>
      </w:r>
      <w:r>
        <w:rPr>
          <w:rFonts w:ascii="Times New Roman" w:hAnsi="Times New Roman" w:eastAsia="Times New Roman" w:cs="Times New Roman"/>
        </w:rPr>
        <w:t xml:space="preserve"> </w:t>
      </w:r>
      <w:r>
        <w:rPr>
          <w:rFonts w:ascii="Leelawadee UI" w:hAnsi="Leelawadee UI" w:eastAsia="Leelawadee UI" w:cs="Leelawadee UI"/>
        </w:rPr>
        <w:t>อุปมาเหล่านี้สอนว่า</w:t>
      </w:r>
      <w:r>
        <w:rPr>
          <w:rFonts w:ascii="Times New Roman" w:hAnsi="Times New Roman" w:eastAsia="Times New Roman" w:cs="Times New Roman"/>
        </w:rPr>
        <w:t xml:space="preserve"> </w:t>
      </w:r>
      <w:r>
        <w:rPr>
          <w:rFonts w:ascii="Leelawadee UI" w:hAnsi="Leelawadee UI" w:eastAsia="Leelawadee UI" w:cs="Leelawadee UI"/>
        </w:rPr>
        <w:t>จะไม่มีเวลาทดลองใจอีกภายหลังการพิพากษา</w:t>
      </w:r>
      <w:r>
        <w:rPr>
          <w:rFonts w:ascii="Times New Roman" w:hAnsi="Times New Roman" w:eastAsia="Times New Roman" w:cs="Times New Roman"/>
        </w:rPr>
        <w:t xml:space="preserve"> </w:t>
      </w:r>
      <w:r>
        <w:rPr>
          <w:rFonts w:ascii="Leelawadee UI" w:hAnsi="Leelawadee UI" w:eastAsia="Leelawadee UI" w:cs="Leelawadee UI"/>
        </w:rPr>
        <w:t>เมื่อพระราชกิจแห่งพระกิตติคุณเสร็จสิ้นลง</w:t>
      </w:r>
      <w:r>
        <w:rPr>
          <w:rFonts w:ascii="Times New Roman" w:hAnsi="Times New Roman" w:eastAsia="Times New Roman" w:cs="Times New Roman"/>
        </w:rPr>
        <w:t xml:space="preserve"> </w:t>
      </w:r>
      <w:r>
        <w:rPr>
          <w:rFonts w:ascii="Leelawadee UI" w:hAnsi="Leelawadee UI" w:eastAsia="Leelawadee UI" w:cs="Leelawadee UI"/>
        </w:rPr>
        <w:t>ก็จะมีการแยกระหว่างคนดีกับคนชั่วตามมาในทันที</w:t>
      </w:r>
      <w:r>
        <w:rPr>
          <w:rFonts w:ascii="Times New Roman" w:hAnsi="Times New Roman" w:eastAsia="Times New Roman" w:cs="Times New Roman"/>
        </w:rPr>
        <w:t xml:space="preserve"> </w:t>
      </w:r>
      <w:r>
        <w:rPr>
          <w:rFonts w:ascii="Leelawadee UI" w:hAnsi="Leelawadee UI" w:eastAsia="Leelawadee UI" w:cs="Leelawadee UI"/>
        </w:rPr>
        <w:t>และชะตากรรมของแต่ละพวกก็ถูกกำหนดไว้อย่างถาวรตลอดไป</w:t>
      </w:r>
      <w:r>
        <w:rPr>
          <w:rFonts w:ascii="Times New Roman" w:hAnsi="Times New Roman" w:eastAsia="Times New Roman" w:cs="Times New Roman"/>
        </w:rPr>
        <w:t xml:space="preserve">” </w:t>
      </w:r>
      <w:r>
        <w:rPr>
          <w:rFonts w:ascii="Leelawadee UI" w:hAnsi="Leelawadee UI" w:eastAsia="Leelawadee UI" w:cs="Leelawadee UI"/>
        </w:rPr>
        <w:t>อุทาหรณ์ของพระคริสต์</w:t>
      </w:r>
      <w:r>
        <w:rPr>
          <w:rFonts w:ascii="Times New Roman" w:hAnsi="Times New Roman" w:eastAsia="Times New Roman" w:cs="Times New Roman"/>
        </w:rPr>
        <w:t>, 123.</w:t>
      </w:r>
    </w:p>
    <w:p>
      <w:pPr>
        <w:pStyle w:val="ArticleBody"/>
        <w:jc w:val="left"/>
      </w:pPr>
      <w:r>
        <w:rPr>
          <w:rFonts w:ascii="Times New Roman" w:hAnsi="Times New Roman" w:eastAsia="Times New Roman" w:cs="Times New Roman"/>
        </w:rPr>
        <w:t>Impilo yesikhathi sokufafazwa kwemvula yamuva, elandelwa yisikhathi lapho imvula yamuva ithululwa khona ngaphandle kwesilinganiso, nayo iboniswa njengezikhathi ezimbili lapho ukwahlulela kufezwa phezu kwabantu bakaNkulunkulu. Isikhathi sokuqala sokwahlulela phezu kwabantu bakaNkulunkulu saqala ngendlu kaNkulunkulu ngo-September 11, 2001, futhi ekwahlulelweni komthetho weSonto ukwahlulela sekufezelwa-ke omunye umhlambi kaNkulunkulu, abaphendulayo noma abenqabayo isimemezelo esikhulu sengweletshetshe yesithathu esiqala ngomthetho weSonto e-United States, siphele lapho uMikayeli esukuma, nokuvalwa kwesikhathi somusa sabantu.</w:t>
      </w:r>
    </w:p>
    <w:p>
      <w:pPr>
        <w:pStyle w:val="ArticleBody"/>
        <w:jc w:val="left"/>
      </w:pPr>
      <w:r>
        <w:rPr>
          <w:rFonts w:ascii="Times New Roman" w:hAnsi="Times New Roman" w:eastAsia="Times New Roman" w:cs="Times New Roman"/>
        </w:rPr>
        <w:t>Dinako tse pedi tša pula ya morago, tše gape e lego dinako tše pedi tša kahlolo yeo e thomago ka ntlo ya Modimo, gomme morago ya fetela mohlapeng o mongwe wa Modimo, gape ke dinako tše pedi tša go bopša ga seswantšho sa sebata.</w:t>
      </w:r>
    </w:p>
    <w:p>
      <w:pPr>
        <w:pStyle w:val="ArticleBody"/>
        <w:jc w:val="left"/>
      </w:pP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ᱵᱷᱟᱵᱤᱥᱭᱚᱛᱽ</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ᱢᱮᱫ</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ᱵᱤᱪᱟᱨ</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ᱡᱩᱠᱛᱚ</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ᱟᱸᱜᱚᱜᱼᱟ</w:t>
      </w:r>
      <w:r>
        <w:rPr>
          <w:rFonts w:ascii="Times New Roman" w:hAnsi="Times New Roman" w:eastAsia="Times New Roman" w:cs="Times New Roman"/>
        </w:rPr>
        <w:t xml:space="preserve">, </w:t>
      </w:r>
      <w:r>
        <w:rPr>
          <w:rFonts w:ascii="Nirmala UI" w:hAnsi="Nirmala UI" w:eastAsia="Nirmala UI" w:cs="Nirmala UI"/>
        </w:rPr>
        <w:t>ᱚᱱᱟᱜᱮ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ᱦᱮᱸᱫ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ᱨᱮᱯᱟᱵᱽᱞᱤᱠᱟᱱ</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ᱯᱨᱚᱴᱮᱥᱴᱟᱱᱴ</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ᱠᱚᱜᱮ</w:t>
      </w:r>
      <w:r>
        <w:rPr>
          <w:rFonts w:ascii="Times New Roman" w:hAnsi="Times New Roman" w:eastAsia="Times New Roman" w:cs="Times New Roman"/>
        </w:rPr>
        <w:t xml:space="preserve"> </w:t>
      </w:r>
      <w:r>
        <w:rPr>
          <w:rFonts w:ascii="Nirmala UI" w:hAnsi="Nirmala UI" w:eastAsia="Nirmala UI" w:cs="Nirmala UI"/>
        </w:rPr>
        <w:t>ᱵᱤᱪᱟᱨ</w:t>
      </w:r>
      <w:r>
        <w:rPr>
          <w:rFonts w:ascii="Times New Roman" w:hAnsi="Times New Roman" w:eastAsia="Times New Roman" w:cs="Times New Roman"/>
        </w:rPr>
        <w:t xml:space="preserve"> </w:t>
      </w:r>
      <w:r>
        <w:rPr>
          <w:rFonts w:ascii="Nirmala UI" w:hAnsi="Nirmala UI" w:eastAsia="Nirmala UI" w:cs="Nirmala UI"/>
        </w:rPr>
        <w:t>ᱦᱚᱪᱚᱜᱼᱟ।</w:t>
      </w:r>
      <w:r>
        <w:rPr>
          <w:rFonts w:ascii="Times New Roman" w:hAnsi="Times New Roman" w:eastAsia="Times New Roman" w:cs="Times New Roman"/>
        </w:rPr>
        <w:t xml:space="preserve"> </w:t>
      </w:r>
      <w:r>
        <w:rPr>
          <w:rFonts w:ascii="Nirmala UI" w:hAnsi="Nirmala UI" w:eastAsia="Nirmala UI" w:cs="Nirmala UI"/>
        </w:rPr>
        <w:t>ᱴᱷᱤᱠ</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ᱴᱷᱟᱶ</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ᱞᱟᱣᱫᱤᱥᱤᱭᱟᱱ</w:t>
      </w:r>
      <w:r>
        <w:rPr>
          <w:rFonts w:ascii="Times New Roman" w:hAnsi="Times New Roman" w:eastAsia="Times New Roman" w:cs="Times New Roman"/>
        </w:rPr>
        <w:t xml:space="preserve"> </w:t>
      </w:r>
      <w:r>
        <w:rPr>
          <w:rFonts w:ascii="Nirmala UI" w:hAnsi="Nirmala UI" w:eastAsia="Nirmala UI" w:cs="Nirmala UI"/>
        </w:rPr>
        <w:t>ᱮᱰᱽᱵᱮᱱᱴᱤᱡᱢ</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w:t>
      </w:r>
      <w:r>
        <w:rPr>
          <w:rFonts w:ascii="Nirmala UI" w:hAnsi="Nirmala UI" w:eastAsia="Nirmala UI" w:cs="Nirmala UI"/>
        </w:rPr>
        <w:t>ᱢᱩᱠᱷ</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ᱩᱛᱟᱹᱨ</w:t>
      </w:r>
      <w:r>
        <w:rPr>
          <w:rFonts w:ascii="Times New Roman" w:hAnsi="Times New Roman" w:eastAsia="Times New Roman" w:cs="Times New Roman"/>
        </w:rPr>
        <w:t xml:space="preserve"> </w:t>
      </w:r>
      <w:r>
        <w:rPr>
          <w:rFonts w:ascii="Nirmala UI" w:hAnsi="Nirmala UI" w:eastAsia="Nirmala UI" w:cs="Nirmala UI"/>
        </w:rPr>
        <w:t>ᱵᱮᱨᱮᱫᱚᱜᱼᱟ</w:t>
      </w:r>
      <w:r>
        <w:rPr>
          <w:rFonts w:ascii="Times New Roman" w:hAnsi="Times New Roman" w:eastAsia="Times New Roman" w:cs="Times New Roman"/>
        </w:rPr>
        <w:t xml:space="preserve">, </w:t>
      </w:r>
      <w:r>
        <w:rPr>
          <w:rFonts w:ascii="Nirmala UI" w:hAnsi="Nirmala UI" w:eastAsia="Nirmala UI" w:cs="Nirmala UI"/>
        </w:rPr>
        <w:t>ᱡᱩᱠᱛᱚ</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ᱯᱨᱚᱵᱮᱥᱚᱱᱟᱨᱤ</w:t>
      </w:r>
      <w:r>
        <w:rPr>
          <w:rFonts w:ascii="Times New Roman" w:hAnsi="Times New Roman" w:eastAsia="Times New Roman" w:cs="Times New Roman"/>
        </w:rPr>
        <w:t xml:space="preserve"> </w:t>
      </w:r>
      <w:r>
        <w:rPr>
          <w:rFonts w:ascii="Nirmala UI" w:hAnsi="Nirmala UI" w:eastAsia="Nirmala UI" w:cs="Nirmala UI"/>
        </w:rPr>
        <w:t>ᱯᱭᱟᱞᱟ</w:t>
      </w:r>
      <w:r>
        <w:rPr>
          <w:rFonts w:ascii="Times New Roman" w:hAnsi="Times New Roman" w:eastAsia="Times New Roman" w:cs="Times New Roman"/>
        </w:rPr>
        <w:t xml:space="preserve"> </w:t>
      </w:r>
      <w:r>
        <w:rPr>
          <w:rFonts w:ascii="Nirmala UI" w:hAnsi="Nirmala UI" w:eastAsia="Nirmala UI" w:cs="Nirmala UI"/>
        </w:rPr>
        <w:t>ᱯᱩᱨᱟᱹᱣᱮᱫᱟ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ᱡᱟᱛᱤᱭᱚ</w:t>
      </w:r>
      <w:r>
        <w:rPr>
          <w:rFonts w:ascii="Times New Roman" w:hAnsi="Times New Roman" w:eastAsia="Times New Roman" w:cs="Times New Roman"/>
        </w:rPr>
        <w:t xml:space="preserve"> </w:t>
      </w:r>
      <w:r>
        <w:rPr>
          <w:rFonts w:ascii="Nirmala UI" w:hAnsi="Nirmala UI" w:eastAsia="Nirmala UI" w:cs="Nirmala UI"/>
        </w:rPr>
        <w:t>ᱵᱤᱱᱟᱥ</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ᱫᱤᱥᱟᱹᱢ</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ᱟᱸᱜᱚᱜᱼᱟ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ᱥᱟᱛᱟᱱ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ᱴᱷᱟᱶ</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ᱫᱚᱨᱥᱚᱱ</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ᱟᱪᱪᱷᱟᱱᱵᱷᱤᱛ</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ᱥᱟᱭ</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ᱪᱟᱹᱞᱤᱥ</w:t>
      </w:r>
      <w:r>
        <w:rPr>
          <w:rFonts w:ascii="Times New Roman" w:hAnsi="Times New Roman" w:eastAsia="Times New Roman" w:cs="Times New Roman"/>
        </w:rPr>
        <w:t xml:space="preserve"> </w:t>
      </w:r>
      <w:r>
        <w:rPr>
          <w:rFonts w:ascii="Nirmala UI" w:hAnsi="Nirmala UI" w:eastAsia="Nirmala UI" w:cs="Nirmala UI"/>
        </w:rPr>
        <w:t>ᱯᱮ</w:t>
      </w:r>
      <w:r>
        <w:rPr>
          <w:rFonts w:ascii="Times New Roman" w:hAnsi="Times New Roman" w:eastAsia="Times New Roman" w:cs="Times New Roman"/>
        </w:rPr>
        <w:t xml:space="preserve"> </w:t>
      </w:r>
      <w:r>
        <w:rPr>
          <w:rFonts w:ascii="Nirmala UI" w:hAnsi="Nirmala UI" w:eastAsia="Nirmala UI" w:cs="Nirmala UI"/>
        </w:rPr>
        <w:t>ᱦᱟᱡᱟᱨ</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ᱥᱤᱞ</w:t>
      </w:r>
      <w:r>
        <w:rPr>
          <w:rFonts w:ascii="Times New Roman" w:hAnsi="Times New Roman" w:eastAsia="Times New Roman" w:cs="Times New Roman"/>
        </w:rPr>
        <w:t xml:space="preserve"> </w:t>
      </w:r>
      <w:r>
        <w:rPr>
          <w:rFonts w:ascii="Nirmala UI" w:hAnsi="Nirmala UI" w:eastAsia="Nirmala UI" w:cs="Nirmala UI"/>
        </w:rPr>
        <w:t>ᱦᱚᱪᱚᱜᱼᱟ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ᱟᱹᱱᱤ</w:t>
      </w:r>
      <w:r>
        <w:rPr>
          <w:rFonts w:ascii="Times New Roman" w:hAnsi="Times New Roman" w:eastAsia="Times New Roman" w:cs="Times New Roman"/>
        </w:rPr>
        <w:t xml:space="preserve"> </w:t>
      </w:r>
      <w:r>
        <w:rPr>
          <w:rFonts w:ascii="Nirmala UI" w:hAnsi="Nirmala UI" w:eastAsia="Nirmala UI" w:cs="Nirmala UI"/>
        </w:rPr>
        <w:t>ᱠᱟᱹᱱᱩᱱ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ᱱᱤᱥᱟᱹᱱ</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ᱩᱪᱟᱹᱣ</w:t>
      </w:r>
      <w:r>
        <w:rPr>
          <w:rFonts w:ascii="Times New Roman" w:hAnsi="Times New Roman" w:eastAsia="Times New Roman" w:cs="Times New Roman"/>
        </w:rPr>
        <w:t xml:space="preserve"> </w:t>
      </w:r>
      <w:r>
        <w:rPr>
          <w:rFonts w:ascii="Nirmala UI" w:hAnsi="Nirmala UI" w:eastAsia="Nirmala UI" w:cs="Nirmala UI"/>
        </w:rPr>
        <w:t>ᱮᱢᱚᱜᱼᱟ।</w:t>
      </w:r>
    </w:p>
    <w:p>
      <w:pPr>
        <w:pStyle w:val="ArticleBody"/>
        <w:jc w:val="left"/>
      </w:pPr>
      <w:r>
        <w:rPr>
          <w:rFonts w:ascii="Times New Roman" w:hAnsi="Times New Roman" w:eastAsia="Times New Roman" w:cs="Times New Roman"/>
        </w:rPr>
        <w:t>Re bolellwa gore go ka se kgonege go nea kakanyo epe ka ga “maitemogelo a batho ba Modimo ba ba tla bong ba tshela mo lefatsheng fa kgalalelo ya legodimo le go boelediwa ga dipogiso tsa maloba di kopane.”</w:t>
      </w:r>
    </w:p>
    <w:p>
      <w:pPr>
        <w:pStyle w:val="ArticleScripture"/>
        <w:jc w:val="left"/>
      </w:pPr>
      <w:r>
        <w:rPr>
          <w:rFonts w:ascii="Times New Roman" w:hAnsi="Times New Roman" w:eastAsia="Times New Roman" w:cs="Times New Roman"/>
        </w:rPr>
        <w:t>“Setane ke moithuti wa Baebele yo o tlhagafetseng. O itse gore nako ya gagwe e khutshwane, mme mo ntlheng nngwe le nngwe o batla go lwantsha tiro ya Morena mo lefatsheng leno. Ga go kgonege go naya kakanyo epe ya maitemogelo a batho ba Modimo ba ba tla bong ba santse ba tshela mo lefatsheng fa kgalalelo ya legodimo le poeletso ya ditlhoriso tsa maloba di tlhakane. Ba tla tsamaya mo leseding le le tswang mo setulong sa bogosi sa Modimo. Ka tsotlhe tsotlhe tsa baengele go tla nna le puisano e e sa kgaotseng fa gare ga legodimo le lefatshe. Mme Setane, a dikologilwe ke baengele ba ba bosula, mme a ipolela gore ke Modimo, o tla dira dikgakgamatso tsa mefuta yotlhe, gore, fa go kgonega, a tsietse le bone bakgethi. Batho ba Modimo ga ba kitla ba bona polokesego ya bone mo go direng dikgakgamatso, gonne Setane o tla etsa dikgakgamatso tse di tla bong di dirwa. Batho ba Modimo ba ba lekilweng le go tlhatlhobiwa ba tla bona thata ya bone mo sesupong se go builweng ka sone mo go Ekesodo 31:12–18. Ba tshwanetse go ema ba nitame mo Lefokong le le tshelang: ‘Go kwadilwe.’ Ono ke one fela motheo o ba ka emang mo go one ka polokesego. Ba ba robileng kgolagano ya bone le Modimo mo letsatsing leo ba tla bo ba se na Modimo e bile ba se na tsholofelo.” Testimonies, volume 9, 16.</w:t>
      </w:r>
    </w:p>
    <w:p>
      <w:pPr>
        <w:pStyle w:val="ArticleBody"/>
        <w:jc w:val="left"/>
      </w:pPr>
      <w:r>
        <w:rPr>
          <w:rFonts w:ascii="Times New Roman" w:hAnsi="Times New Roman" w:eastAsia="Times New Roman" w:cs="Times New Roman"/>
        </w:rPr>
        <w:t>Pengulangan penganiayaan pada masa lalu bermula pada undang-undang Ahad di Amerika Syarikat, kerana pada waktu itulah Syaitan memulakan pekerjaannya yang menakjubkan, dan anak-anak dara yang bijaksana, yang telah pun “diuji dan dicuba,” pada masa itu akan “berjalan dalam terang yang keluar dari takhta Allah.” Hal ini akan terlaksana melalui pelayanan para malaikat, kerana “melalui perantaraan para malaikat akan ada perhubungan yang berterusan antara syurga dan bumi.”</w:t>
      </w:r>
    </w:p>
    <w:p>
      <w:pPr>
        <w:pStyle w:val="ArticleScripture"/>
        <w:jc w:val="left"/>
      </w:pPr>
      <w:r>
        <w:rPr>
          <w:rFonts w:ascii="Times New Roman" w:hAnsi="Times New Roman" w:eastAsia="Times New Roman" w:cs="Times New Roman"/>
        </w:rPr>
        <w:t>“Qhapaq kay pachap tukuyta kamachiq Señorpa ñawpaqninpi sayaq hayk’asqa runakunaqa, ñawpaqta Satanásman qosqa karqan chhullaq querubín hina qataqninpa puestonta hap’inku. Paypa t’iyanan muyuriq ch’uya kawsayniyuqkunawanmi Señorqa kay pachapi tiyakuqkunawan sapa kuti rimanakuyta waqaychan. Qori aceiteqa chay graciatan rikuchin, chaywanmi Diosqa iñiqkunapa mecheronkuta hunt’achin, mana llipyaykuspa wañunankupaq. Mana kay ch’uya aceite hanaq pachamanta Diospa Espiritunpa willakuyninkunapi pourasqa kanmanchu chayqa, mana allin atiyniyuqkunam runakunata llapanman kamachiyta atinqaku.”</w:t>
      </w:r>
    </w:p>
    <w:p>
      <w:pPr>
        <w:pStyle w:val="ArticleScripture"/>
        <w:jc w:val="left"/>
      </w:pPr>
      <w:r>
        <w:rPr>
          <w:rFonts w:ascii="Times New Roman" w:hAnsi="Times New Roman" w:eastAsia="Times New Roman" w:cs="Times New Roman"/>
        </w:rPr>
        <w:t>“Tuhan dihina apabila kita tidak menerima perutusan yang dihantar-Nya kepada kita. Dengan demikian kita menolak minyak emas yang hendak dicurahkan-Nya ke dalam jiwa kita untuk disampaikan kepada mereka yang berada dalam kegelapan. Apabila seruan itu akan datang, ‘Lihatlah, pengantin lelaki datang; keluarlah kamu untuk menyongsong dia,’ mereka yang tidak menerima minyak suci itu, yang tidak memelihara kasih karunia Kristus di dalam hati mereka, akan mendapati, seperti gadis-gadis bodoh itu, bahawa mereka tidak bersedia untuk menemui Tuhan mereka. Mereka tidak mempunyai, dalam diri mereka sendiri, kuasa untuk memperoleh minyak itu, dan hidup mereka binasa. Tetapi jika Roh Kudus Allah diminta, jika kita memohon, seperti yang dilakukan Musa, ‘Perlihatkanlah kemuliaan-Mu kepadaku,’ kasih Allah akan dicurahkan ke dalam hati kita. Melalui saluran-saluran emas itu, minyak emas akan disampaikan kepada kita. ‘Bukan dengan keperkasaan, bukan dengan kekuatan, melainkan dengan Roh-Ku, firman TUHAN semesta alam.’ Dengan menerima sinar terang Matahari Kebenaran, anak-anak Allah bersinar sebagai terang di dalam dunia.” Review and Herald, 20 Julai 1897.</w:t>
      </w:r>
    </w:p>
    <w:p>
      <w:pPr>
        <w:pStyle w:val="ArticleBody"/>
        <w:jc w:val="left"/>
      </w:pPr>
      <w:r>
        <w:rPr>
          <w:rFonts w:ascii="Times New Roman" w:hAnsi="Times New Roman" w:eastAsia="Times New Roman" w:cs="Times New Roman"/>
        </w:rPr>
        <w:t>Ndzi vanhu vo tlhariha hi lava va fungheriweke eka Nhlavutelo ndzima ya nkombo na Ezekiele ndzima ya kaye, naswona va hambanisiwa ni swiphukuphuku leswi nyamisaka Hosi hi ku ala “mahungu lawa a yi ma rhumelaka.” Swiphukuphuku hi lava “lava va tshoveke ntwanano wa vona na Xikwembu, lava hi siku rero va nga ta va hava Xikwembu ni ku pfumala ntshembo.” Mintlawa yoleyo mimbirhi yi ringiwile kutani yi fikisiwa laha yi kombiseke ximunhuhatelo xa yona hi ku ya hi leswaku yi amukerile kumbe yi arile rungula ra nkarhi wolowo. Rungula ra nkarhi wolowo ku sukela hi September 11, 2001, ri vile rungula ra mpfula ya le ndzhaku.</w:t>
      </w:r>
    </w:p>
    <w:p>
      <w:pPr>
        <w:pStyle w:val="ArticleBody"/>
        <w:jc w:val="left"/>
      </w:pPr>
      <w:r>
        <w:rPr>
          <w:rFonts w:ascii="Times New Roman" w:hAnsi="Times New Roman" w:eastAsia="Times New Roman" w:cs="Times New Roman"/>
        </w:rPr>
        <w:t>Mesej hujan akhir dikenali melalui metodologi baris demi baris sebagaimana dinyatakan dalam Yesaya pasal dua puluh lapan. Metodologi baris demi baris ialah kaedah yang ditetapkan oleh Tuhan bagi pengkajian Alkitab, dan oleh itu menolak metodologi itu bukan sahaja bererti menolak mesej yang dinyatakan melalui penerapan baris demi baris, sedikit di sini dan sedikit di sana, tetapi juga menolak Pemberi metodologi itu.</w:t>
      </w:r>
    </w:p>
    <w:p>
      <w:pPr>
        <w:pStyle w:val="ArticleBody"/>
        <w:jc w:val="left"/>
      </w:pPr>
      <w:r>
        <w:rPr>
          <w:rFonts w:ascii="Times New Roman" w:hAnsi="Times New Roman" w:eastAsia="Times New Roman" w:cs="Times New Roman"/>
        </w:rPr>
        <w:t>Owing to the inspired parameters disclosed in the testing process that leads to the sealing of the one hundred and forty-four thousand, it is evident that the only way a child of God can pass safely through the history in which “celestial glory and a repetition of the persecutions of the past are blended,” is to be in an experience wherein the light from the throne of God may be recognized. It must be recognized, or it is of no avail, and we are lost.</w:t>
      </w:r>
    </w:p>
    <w:p>
      <w:pPr>
        <w:pStyle w:val="ArticleScripture"/>
        <w:jc w:val="left"/>
      </w:pPr>
      <w:r>
        <w:rPr>
          <w:rFonts w:ascii="Times New Roman" w:hAnsi="Times New Roman" w:eastAsia="Times New Roman" w:cs="Times New Roman"/>
        </w:rPr>
        <w:t>“E ti tshi fanela u ima ri lavhelela mpfula ya u fhedzisela. I khou ḓa kha vhoṱhe vha no ḓivha na u dzhia sa zwavho mavuḓa na mvula dza tshilidzi dzi no wela kha riṋe. Musi ri tshi kuvhanganya zwipiḓa zwa tshedza, musi ri tshi dzhiela nṱha khathutshelo dza vhukuma dza Mudzimu, ane a funa uri ri mu fulufhele, zwenezwo pfulufhedziso iṅwe na iṅwe i ḓo khunyelela. [Yesaya 61:11 yo redzhiiwa.] Shango ḽoṱhe ḽi tea u ḓadzwa nga vhugala ha Mudzimu.” The Seventh-day Adventist Bible Commentary, volume 7, 984.</w:t>
      </w:r>
    </w:p>
    <w:p>
      <w:pPr>
        <w:pStyle w:val="ArticleBody"/>
        <w:jc w:val="left"/>
      </w:pPr>
      <w:r>
        <w:rPr>
          <w:rFonts w:ascii="Myanmar Text" w:hAnsi="Myanmar Text" w:eastAsia="Myanmar Text" w:cs="Myanmar Text"/>
        </w:rPr>
        <w:t>လုံးဝမြေကြီးတစ်ပြင်လုံးကို</w:t>
      </w:r>
      <w:r>
        <w:rPr>
          <w:rFonts w:ascii="Times New Roman" w:hAnsi="Times New Roman" w:eastAsia="Times New Roman" w:cs="Times New Roman"/>
        </w:rPr>
        <w:t xml:space="preserve"> </w:t>
      </w:r>
      <w:r>
        <w:rPr>
          <w:rFonts w:ascii="Myanmar Text" w:hAnsi="Myanmar Text" w:eastAsia="Myanmar Text" w:cs="Myanmar Text"/>
        </w:rPr>
        <w:t>မိမိ၏ဘုန်းအသရေဖြင့်</w:t>
      </w:r>
      <w:r>
        <w:rPr>
          <w:rFonts w:ascii="Times New Roman" w:hAnsi="Times New Roman" w:eastAsia="Times New Roman" w:cs="Times New Roman"/>
        </w:rPr>
        <w:t xml:space="preserve"> </w:t>
      </w:r>
      <w:r>
        <w:rPr>
          <w:rFonts w:ascii="Myanmar Text" w:hAnsi="Myanmar Text" w:eastAsia="Myanmar Text" w:cs="Myanmar Text"/>
        </w:rPr>
        <w:t>ပြည့်စေသော</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ကောင်းကင်တမန်၏ကာလ၊</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ရက်နေ့မှ</w:t>
      </w:r>
      <w:r>
        <w:rPr>
          <w:rFonts w:ascii="Times New Roman" w:hAnsi="Times New Roman" w:eastAsia="Times New Roman" w:cs="Times New Roman"/>
        </w:rPr>
        <w:t xml:space="preserve"> </w:t>
      </w:r>
      <w:r>
        <w:rPr>
          <w:rFonts w:ascii="Myanmar Text" w:hAnsi="Myanmar Text" w:eastAsia="Myanmar Text" w:cs="Myanmar Text"/>
        </w:rPr>
        <w:t>စတင်သော</w:t>
      </w:r>
      <w:r>
        <w:rPr>
          <w:rFonts w:ascii="Times New Roman" w:hAnsi="Times New Roman" w:eastAsia="Times New Roman" w:cs="Times New Roman"/>
        </w:rPr>
        <w:t xml:space="preserve"> </w:t>
      </w:r>
      <w:r>
        <w:rPr>
          <w:rFonts w:ascii="Myanmar Text" w:hAnsi="Myanmar Text" w:eastAsia="Myanmar Text" w:cs="Myanmar Text"/>
        </w:rPr>
        <w:t>ထိုအချိန်ကာလ၌၊</w:t>
      </w:r>
      <w:r>
        <w:rPr>
          <w:rFonts w:ascii="Times New Roman" w:hAnsi="Times New Roman" w:eastAsia="Times New Roman" w:cs="Times New Roman"/>
        </w:rPr>
        <w:t xml:space="preserve"> </w:t>
      </w:r>
      <w:r>
        <w:rPr>
          <w:rFonts w:ascii="Myanmar Text" w:hAnsi="Myanmar Text" w:eastAsia="Myanmar Text" w:cs="Myanmar Text"/>
        </w:rPr>
        <w:t>နောက်မိုးသည်</w:t>
      </w:r>
      <w:r>
        <w:rPr>
          <w:rFonts w:ascii="Times New Roman" w:hAnsi="Times New Roman" w:eastAsia="Times New Roman" w:cs="Times New Roman"/>
        </w:rPr>
        <w:t xml:space="preserve"> “</w:t>
      </w:r>
      <w:r>
        <w:rPr>
          <w:rFonts w:ascii="Myanmar Text" w:hAnsi="Myanmar Text" w:eastAsia="Myanmar Text" w:cs="Myanmar Text"/>
        </w:rPr>
        <w:t>ကျွန်ုပ်တို့အပေါ်သို့</w:t>
      </w:r>
      <w:r>
        <w:rPr>
          <w:rFonts w:ascii="Times New Roman" w:hAnsi="Times New Roman" w:eastAsia="Times New Roman" w:cs="Times New Roman"/>
        </w:rPr>
        <w:t xml:space="preserve"> </w:t>
      </w:r>
      <w:r>
        <w:rPr>
          <w:rFonts w:ascii="Myanmar Text" w:hAnsi="Myanmar Text" w:eastAsia="Myanmar Text" w:cs="Myanmar Text"/>
        </w:rPr>
        <w:t>ကျလာလျက်ရှိသော</w:t>
      </w:r>
      <w:r>
        <w:rPr>
          <w:rFonts w:ascii="Times New Roman" w:hAnsi="Times New Roman" w:eastAsia="Times New Roman" w:cs="Times New Roman"/>
        </w:rPr>
        <w:t xml:space="preserve"> </w:t>
      </w:r>
      <w:r>
        <w:rPr>
          <w:rFonts w:ascii="Myanmar Text" w:hAnsi="Myanmar Text" w:eastAsia="Myanmar Text" w:cs="Myanmar Text"/>
        </w:rPr>
        <w:t>ကျေးဇူးတော်၏</w:t>
      </w:r>
      <w:r>
        <w:rPr>
          <w:rFonts w:ascii="Times New Roman" w:hAnsi="Times New Roman" w:eastAsia="Times New Roman" w:cs="Times New Roman"/>
        </w:rPr>
        <w:t xml:space="preserve"> </w:t>
      </w:r>
      <w:r>
        <w:rPr>
          <w:rFonts w:ascii="Myanmar Text" w:hAnsi="Myanmar Text" w:eastAsia="Myanmar Text" w:cs="Myanmar Text"/>
        </w:rPr>
        <w:t>နှင်းနှင့်</w:t>
      </w:r>
      <w:r>
        <w:rPr>
          <w:rFonts w:ascii="Times New Roman" w:hAnsi="Times New Roman" w:eastAsia="Times New Roman" w:cs="Times New Roman"/>
        </w:rPr>
        <w:t xml:space="preserve"> </w:t>
      </w:r>
      <w:r>
        <w:rPr>
          <w:rFonts w:ascii="Myanmar Text" w:hAnsi="Myanmar Text" w:eastAsia="Myanmar Text" w:cs="Myanmar Text"/>
        </w:rPr>
        <w:t>မိုးရေများကို</w:t>
      </w:r>
      <w:r>
        <w:rPr>
          <w:rFonts w:ascii="Times New Roman" w:hAnsi="Times New Roman" w:eastAsia="Times New Roman" w:cs="Times New Roman"/>
        </w:rPr>
        <w:t xml:space="preserve"> </w:t>
      </w:r>
      <w:r>
        <w:rPr>
          <w:rFonts w:ascii="Myanmar Text" w:hAnsi="Myanmar Text" w:eastAsia="Myanmar Text" w:cs="Myanmar Text"/>
        </w:rPr>
        <w:t>အသိအမှတ်ပြု၍</w:t>
      </w:r>
      <w:r>
        <w:rPr>
          <w:rFonts w:ascii="Times New Roman" w:hAnsi="Times New Roman" w:eastAsia="Times New Roman" w:cs="Times New Roman"/>
        </w:rPr>
        <w:t xml:space="preserve"> </w:t>
      </w:r>
      <w:r>
        <w:rPr>
          <w:rFonts w:ascii="Myanmar Text" w:hAnsi="Myanmar Text" w:eastAsia="Myanmar Text" w:cs="Myanmar Text"/>
        </w:rPr>
        <w:t>ကိုယ်ပိုင်အဖြစ်</w:t>
      </w:r>
      <w:r>
        <w:rPr>
          <w:rFonts w:ascii="Times New Roman" w:hAnsi="Times New Roman" w:eastAsia="Times New Roman" w:cs="Times New Roman"/>
        </w:rPr>
        <w:t xml:space="preserve"> </w:t>
      </w:r>
      <w:r>
        <w:rPr>
          <w:rFonts w:ascii="Myanmar Text" w:hAnsi="Myanmar Text" w:eastAsia="Myanmar Text" w:cs="Myanmar Text"/>
        </w:rPr>
        <w:t>လက်ခံအသုံးချခဲ့သော</w:t>
      </w:r>
      <w:r>
        <w:rPr>
          <w:rFonts w:ascii="Times New Roman" w:hAnsi="Times New Roman" w:eastAsia="Times New Roman" w:cs="Times New Roman"/>
        </w:rPr>
        <w:t>” “</w:t>
      </w:r>
      <w:r>
        <w:rPr>
          <w:rFonts w:ascii="Myanmar Text" w:hAnsi="Myanmar Text" w:eastAsia="Myanmar Text" w:cs="Myanmar Text"/>
        </w:rPr>
        <w:t>သူတို့</w:t>
      </w:r>
      <w:r>
        <w:rPr>
          <w:rFonts w:ascii="Times New Roman" w:hAnsi="Times New Roman" w:eastAsia="Times New Roman" w:cs="Times New Roman"/>
        </w:rPr>
        <w:t>” “</w:t>
      </w:r>
      <w:r>
        <w:rPr>
          <w:rFonts w:ascii="Myanmar Text" w:hAnsi="Myanmar Text" w:eastAsia="Myanmar Text" w:cs="Myanmar Text"/>
        </w:rPr>
        <w:t>အပေါ်သို့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ရောက်ရှိလာခဲ့သည်။</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Sister White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ဖော်ပြခဲ့သော</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အမှား</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မိုက်သောကညာများသည်</w:t>
      </w:r>
      <w:r>
        <w:rPr>
          <w:rFonts w:ascii="Times New Roman" w:hAnsi="Times New Roman" w:eastAsia="Times New Roman" w:cs="Times New Roman"/>
        </w:rPr>
        <w:t xml:space="preserve"> </w:t>
      </w:r>
      <w:r>
        <w:rPr>
          <w:rFonts w:ascii="Myanmar Text" w:hAnsi="Myanmar Text" w:eastAsia="Myanmar Text" w:cs="Myanmar Text"/>
        </w:rPr>
        <w:t>နောက်မိုးကို</w:t>
      </w:r>
      <w:r>
        <w:rPr>
          <w:rFonts w:ascii="Times New Roman" w:hAnsi="Times New Roman" w:eastAsia="Times New Roman" w:cs="Times New Roman"/>
        </w:rPr>
        <w:t xml:space="preserve"> </w:t>
      </w:r>
      <w:r>
        <w:rPr>
          <w:rFonts w:ascii="Myanmar Text" w:hAnsi="Myanmar Text" w:eastAsia="Myanmar Text" w:cs="Myanmar Text"/>
        </w:rPr>
        <w:t>အကန့်အသတ်မရှိ</w:t>
      </w:r>
      <w:r>
        <w:rPr>
          <w:rFonts w:ascii="Times New Roman" w:hAnsi="Times New Roman" w:eastAsia="Times New Roman" w:cs="Times New Roman"/>
        </w:rPr>
        <w:t xml:space="preserve"> </w:t>
      </w:r>
      <w:r>
        <w:rPr>
          <w:rFonts w:ascii="Myanmar Text" w:hAnsi="Myanmar Text" w:eastAsia="Myanmar Text" w:cs="Myanmar Text"/>
        </w:rPr>
        <w:t>သွန်းလောင်းပေးသည့်အချိန်အထိ</w:t>
      </w:r>
      <w:r>
        <w:rPr>
          <w:rFonts w:ascii="Times New Roman" w:hAnsi="Times New Roman" w:eastAsia="Times New Roman" w:cs="Times New Roman"/>
        </w:rPr>
        <w:t xml:space="preserve"> </w:t>
      </w:r>
      <w:r>
        <w:rPr>
          <w:rFonts w:ascii="Myanmar Text" w:hAnsi="Myanmar Text" w:eastAsia="Myanmar Text" w:cs="Myanmar Text"/>
        </w:rPr>
        <w:t>စောင့်နေနိုင်သည်ဟု</w:t>
      </w:r>
      <w:r>
        <w:rPr>
          <w:rFonts w:ascii="Times New Roman" w:hAnsi="Times New Roman" w:eastAsia="Times New Roman" w:cs="Times New Roman"/>
        </w:rPr>
        <w:t xml:space="preserve"> </w:t>
      </w:r>
      <w:r>
        <w:rPr>
          <w:rFonts w:ascii="Myanmar Text" w:hAnsi="Myanmar Text" w:eastAsia="Myanmar Text" w:cs="Myanmar Text"/>
        </w:rPr>
        <w:t>ထင်မြင်ခဲ့ကြခြင်းဖြစ်သည်။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နောက်မှလိုက်၍</w:t>
      </w:r>
      <w:r>
        <w:rPr>
          <w:rFonts w:ascii="Times New Roman" w:hAnsi="Times New Roman" w:eastAsia="Times New Roman" w:cs="Times New Roman"/>
        </w:rPr>
        <w:t xml:space="preserve"> </w:t>
      </w:r>
      <w:r>
        <w:rPr>
          <w:rFonts w:ascii="Myanmar Text" w:hAnsi="Myanmar Text" w:eastAsia="Myanmar Text" w:cs="Myanmar Text"/>
        </w:rPr>
        <w:t>ပြည့်မီအောင်</w:t>
      </w:r>
      <w:r>
        <w:rPr>
          <w:rFonts w:ascii="Times New Roman" w:hAnsi="Times New Roman" w:eastAsia="Times New Roman" w:cs="Times New Roman"/>
        </w:rPr>
        <w:t xml:space="preserve"> </w:t>
      </w:r>
      <w:r>
        <w:rPr>
          <w:rFonts w:ascii="Myanmar Text" w:hAnsi="Myanmar Text" w:eastAsia="Myanmar Text" w:cs="Myanmar Text"/>
        </w:rPr>
        <w:t>လိုက်မီနိုင်မည်ဟုလည်း</w:t>
      </w:r>
      <w:r>
        <w:rPr>
          <w:rFonts w:ascii="Times New Roman" w:hAnsi="Times New Roman" w:eastAsia="Times New Roman" w:cs="Times New Roman"/>
        </w:rPr>
        <w:t xml:space="preserve"> </w:t>
      </w:r>
      <w:r>
        <w:rPr>
          <w:rFonts w:ascii="Myanmar Text" w:hAnsi="Myanmar Text" w:eastAsia="Myanmar Text" w:cs="Myanmar Text"/>
        </w:rPr>
        <w:t>သူတို့ထင်ခဲ့ကြသည်။</w:t>
      </w:r>
      <w:r>
        <w:rPr>
          <w:rFonts w:ascii="Times New Roman" w:hAnsi="Times New Roman" w:eastAsia="Times New Roman" w:cs="Times New Roman"/>
        </w:rPr>
        <w:t xml:space="preserve"> </w:t>
      </w:r>
      <w:r>
        <w:rPr>
          <w:rFonts w:ascii="Myanmar Text" w:hAnsi="Myanmar Text" w:eastAsia="Myanmar Text" w:cs="Myanmar Text"/>
        </w:rPr>
        <w:t>ထိုသို့မဟုတ်ပါ။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နားလည်သဘောပေါက်မှု၌</w:t>
      </w:r>
      <w:r>
        <w:rPr>
          <w:rFonts w:ascii="Times New Roman" w:hAnsi="Times New Roman" w:eastAsia="Times New Roman" w:cs="Times New Roman"/>
        </w:rPr>
        <w:t xml:space="preserve"> </w:t>
      </w:r>
      <w:r>
        <w:rPr>
          <w:rFonts w:ascii="Myanmar Text" w:hAnsi="Myanmar Text" w:eastAsia="Myanmar Text" w:cs="Myanmar Text"/>
        </w:rPr>
        <w:t>ကြီးထွားလျက်ရှိသောသူတို့သာလျှင်</w:t>
      </w:r>
      <w:r>
        <w:rPr>
          <w:rFonts w:ascii="Times New Roman" w:hAnsi="Times New Roman" w:eastAsia="Times New Roman" w:cs="Times New Roman"/>
        </w:rPr>
        <w:t xml:space="preserve"> </w:t>
      </w:r>
      <w:r>
        <w:rPr>
          <w:rFonts w:ascii="Myanmar Text" w:hAnsi="Myanmar Text" w:eastAsia="Myanmar Text" w:cs="Myanmar Text"/>
        </w:rPr>
        <w:t>ပိုမိုသော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လက်ခံရရှိကြသည်။</w:t>
      </w:r>
    </w:p>
    <w:p>
      <w:pPr>
        <w:pStyle w:val="ArticleBody"/>
        <w:jc w:val="left"/>
      </w:pPr>
      <w:r>
        <w:rPr>
          <w:rFonts w:ascii="Times New Roman" w:hAnsi="Times New Roman" w:eastAsia="Times New Roman" w:cs="Times New Roman"/>
        </w:rPr>
        <w:t>Apabila kita menutup rencana ini, perkara yang ingin saya nyatakan ialah berhubung dengan tujuan masa ujian yang sedang kita alami sekarang. Jika kita hendak “berjalan dalam terang yang keluar dari takhta Allah” pada waktu penganiayaan-penganiayaan masa lampau diulangi, kita perlu menguasai Firman nubuatan terlebih dahulu sebelum krisis itu tiba.</w:t>
      </w:r>
    </w:p>
    <w:p>
      <w:pPr>
        <w:pStyle w:val="ArticleBody"/>
        <w:jc w:val="left"/>
      </w:pPr>
      <w:r>
        <w:rPr>
          <w:rFonts w:ascii="Times New Roman" w:hAnsi="Times New Roman" w:eastAsia="Times New Roman" w:cs="Times New Roman"/>
        </w:rPr>
        <w:t>Dalam pasal satu, Daniel dan ketiga sahabat yang mulia itu telah pun menyempurnakan pendidikan mereka sebelum mereka masuk untuk diuji oleh Nebukadnezar. Selama empat puluh hari, Kristus telah membuka Firman nubuat kepada pengertian para murid terlebih dahulu sebelum genapnya sepuluh hari di mana para murid menyempurnakan kesatuan mereka. Kemudian datanglah Pentakosta, yang melambangkan hukum hari Minggu.</w:t>
      </w:r>
    </w:p>
    <w:p>
      <w:pPr>
        <w:pStyle w:val="ArticleBody"/>
        <w:jc w:val="left"/>
      </w:pPr>
      <w:r>
        <w:rPr>
          <w:rFonts w:ascii="Times New Roman" w:hAnsi="Times New Roman" w:eastAsia="Times New Roman" w:cs="Times New Roman"/>
        </w:rPr>
        <w:t>Mu Daniel suura yatatu, Shadrach, Meshach ne Abednego baa ka kyerɛɛ Nebukadnesa sɛ wonhia bere foforo biara, efisɛ na wɔasi wɔn adwene dedaw fa nea na ɛsɛ sɛ wɔyɛ wɔ Sanda mmara sɔhwɛ bere no ho. Wɔn nokwaredi hyɛɛ anuonyam kɛse bere a wɔne Kristo nantewee wɔ ogya fononoo no mu no, na nkrasɛm a na wɔagye atom dedaw ansa na sɔhwɛ no reba no, amannɔne atitiriw a wɔaba no nyinaa a wohui anwonwade no wɔ fononoo no mu no de kɔɔ wiase a na wonim no saa bere no nyinaa mu.</w:t>
      </w:r>
    </w:p>
    <w:p>
      <w:pPr>
        <w:pStyle w:val="ArticleBody"/>
        <w:jc w:val="left"/>
      </w:pPr>
      <w:r>
        <w:rPr>
          <w:rFonts w:ascii="Times New Roman" w:hAnsi="Times New Roman" w:eastAsia="Times New Roman" w:cs="Times New Roman"/>
        </w:rPr>
        <w:t>Келесі мақалада осы ойларды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Lembali ya sephiri ya Temana ya Masomenne—Nomoro ya Boraro</dc:title>
  <dc:subject>Undang-Undang Ahad dan Perjalanan Nubuat: Dari Akta Patriot ke Ujian Terakhir</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