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Leelawadee UI" w:hAnsi="Leelawadee UI" w:eastAsia="Leelawadee UI" w:cs="Leelawadee UI"/>
        </w:rPr>
        <w:t>ប្រវត្តិសាស្ត្រលាក់កំបាំងនៃខទីសែសិប</w:t>
      </w:r>
      <w:r>
        <w:rPr>
          <w:rFonts w:ascii="Arial" w:hAnsi="Arial" w:eastAsia="Arial" w:cs="Arial"/>
        </w:rPr>
        <w:t xml:space="preserve"> — </w:t>
      </w:r>
      <w:r>
        <w:rPr>
          <w:rFonts w:ascii="Leelawadee UI" w:hAnsi="Leelawadee UI" w:eastAsia="Leelawadee UI" w:cs="Leelawadee UI"/>
        </w:rPr>
        <w:t>លេខម្ភៃបួន</w:t>
      </w:r>
    </w:p>
    <w:p>
      <w:pPr>
        <w:pStyle w:val="ArticleSubtitle"/>
        <w:jc w:val="left"/>
      </w:pPr>
      <w:r>
        <w:rPr>
          <w:rFonts w:ascii="Arial" w:hAnsi="Arial" w:eastAsia="Arial" w:cs="Arial"/>
        </w:rPr>
        <w:t>Езекил Број Пет</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2026-08-10</w:t>
      </w:r>
    </w:p>
    <w:p>
      <w:pPr>
        <w:pStyle w:val="ArticleBody"/>
        <w:jc w:val="left"/>
      </w:pPr>
      <w:r>
        <w:rPr>
          <w:rFonts w:ascii="Times New Roman" w:hAnsi="Times New Roman" w:eastAsia="Times New Roman" w:cs="Times New Roman"/>
        </w:rPr>
        <w:t>Dalam petikan daripada Testimonies, jilid lima, yang telah kita pertimbangkan selama beberapa rencana ini, kita diberitahu tentang penglihatan Bait Suci yang diberikan kepada Yehezkiel, Yesaya, dan Yohanes:</w:t>
      </w:r>
    </w:p>
    <w:p>
      <w:pPr>
        <w:pStyle w:val="ArticleScripture"/>
        <w:jc w:val="left"/>
      </w:pPr>
      <w:r>
        <w:rPr>
          <w:rFonts w:ascii="Times New Roman" w:hAnsi="Times New Roman" w:eastAsia="Times New Roman" w:cs="Times New Roman"/>
        </w:rPr>
        <w:t>“Pelajaran-pelajaran ini adalah untuk manfaat kita. Kita perlu meneguhkan iman kita kepada Allah, karena tepat di hadapan kita ada suatu masa yang akan menguji jiwa manusia. Kristus, di Bukit Zaitun, mengulang kembali hukuman-hukuman yang dahsyat yang akan mendahului kedatangan-Nya yang kedua: ‘Kamu akan mendengar deru perang atau kabar-kabar tentang perang.’ ‘Bangsa akan bangkit melawan bangsa, dan kerajaan melawan kerajaan: dan akan ada kelaparan, sampar, dan gempa bumi di berbagai tempat. Semua itu adalah permulaan penderitaan menjelang zaman baru.’ Meskipun nubuatan-nubuatan ini telah menerima penggenapan sebagian pada waktu kebinasaan Yerusalem, nubuatan-nubuatan itu mempunyai penerapan yang lebih langsung kepada hari-hari terakhir.”</w:t>
      </w:r>
    </w:p>
    <w:p>
      <w:pPr>
        <w:pStyle w:val="ArticleHeading"/>
        <w:jc w:val="left"/>
      </w:pPr>
      <w:r>
        <w:rPr>
          <w:rFonts w:ascii="Arial" w:hAnsi="Arial" w:eastAsia="Arial" w:cs="Arial"/>
        </w:rPr>
        <w:t>Ya Borobongwe ya Av</w:t>
      </w:r>
    </w:p>
    <w:p>
      <w:pPr>
        <w:pStyle w:val="ArticleBody"/>
        <w:jc w:val="left"/>
      </w:pPr>
      <w:r>
        <w:rPr>
          <w:rFonts w:ascii="Times New Roman" w:hAnsi="Times New Roman" w:eastAsia="Times New Roman" w:cs="Times New Roman"/>
        </w:rPr>
        <w:t>Tisha B’Av, yang dalam bahasa Ibrani berarti “Hari Kesembilan bulan Av,” ialah hari Yahudi yang memperingati kehancuran baik Bait Suci Pertama oleh orang-orang Babilonia pada tahun 586 SM maupun Bait Suci Kedua oleh Titus pada tahun 70. Kedua kehancuran itu terjadi pada tanggal kalender yang sama—hari ke-9 bulan Av dalam kalender Ibrani (yang biasanya jatuh pada bulan Juli atau Agustus dalam kalender Gregorian). Ketika Sister White menyelaraskan kehancuran Yerusalem dengan “masa yang akan menguji jiwa manusia” pada hari-hari terakhir, ia sedang menunjuk kepada dua kehancuran yang keduanya menggambarkan undang-undang hari Minggu yang segera akan datang.</w:t>
      </w:r>
    </w:p>
    <w:p>
      <w:pPr>
        <w:pStyle w:val="ArticleBody"/>
        <w:jc w:val="left"/>
      </w:pPr>
      <w:r>
        <w:rPr>
          <w:rFonts w:ascii="Times New Roman" w:hAnsi="Times New Roman" w:eastAsia="Times New Roman" w:cs="Times New Roman"/>
        </w:rPr>
        <w:t>Ayat keenam belas dalam Daniel sebelas melambangkan undang-undang Ahad itu, dan seiring dengan ayat keempat puluh satu. Dalam Yehezkiel, kebinasaan Yerusalem digunakan untuk menggambarkan pemisahan antara gadis-gadis dara yang bijaksana dan yang bodoh pada waktu undang-undang Ahad. Yehezkiel adalah seorang tawanan di Babel ketika ia secara mukjizat diangkut ke Yerusalem untuk menyaksikan pemisahan itu sendiri dalam pasal lapan hingga sebelas.</w:t>
      </w:r>
    </w:p>
    <w:p>
      <w:pPr>
        <w:pStyle w:val="ArticleScripture"/>
        <w:jc w:val="left"/>
      </w:pPr>
      <w:r>
        <w:rPr>
          <w:rFonts w:ascii="Times New Roman" w:hAnsi="Times New Roman" w:eastAsia="Times New Roman" w:cs="Times New Roman"/>
        </w:rPr>
        <w:t>E lomuom raon a, e lomuom on maron a, ni ran a koanoat, fa iei nan imwei ai, ma e tekia imwui ai ar mwane ni bakatibu ni Iuta, ao iai nan inaomata ni Uea ae Kaunrikina iau ikai. I moan noora, ma noria, e iai temanna ae aron atataia ni ai: mai aon te wanawana ni moa ni kawai i aon, ai; ma mai te wanawana ni moa ni riai i aon, aron te raiti ae e kaan, aron te kara ni ampa. Ma e tauraoi aron nanoan rima, ma e kabaneia ni kabuukun buokai; ao e kamauaia te taamnei i marenan aon aba ao karawa, ma e uotia n te baim ae n Taamnei n Ana Atua nakon Ierutarem, nakon matani-koro n te matani-kibunta i nano ae e nooraki nakon te maitina; i aei te aba n te tamnei ni kaungkoe, ae e kabongana te kaungkoe. Ezekiel 8:1–3.</w:t>
      </w:r>
    </w:p>
    <w:p>
      <w:pPr>
        <w:pStyle w:val="ArticleBody"/>
        <w:jc w:val="left"/>
      </w:pPr>
      <w:r>
        <w:rPr>
          <w:rFonts w:ascii="Times New Roman" w:hAnsi="Times New Roman" w:eastAsia="Times New Roman" w:cs="Times New Roman"/>
        </w:rPr>
        <w:t>Бүлэг наймаас арван нэгэн хүртэлх дөрвөн бүлэг нь тусгаарлалтын дүрслэл бөгөөд Эгч Уайт Езекиелийн есдүгээр бүлэгт тайлбар хийхдээ энэ нь Илчлэлт номын долоодугаар бүлэг дэх лацдалттай адилхан болохыг төдийгүй, Иерусалим нь эцсийн өдрүүд дэх Лаодикийн Долоо дахь өдрийн Адвентист сүмийг төлөөлдөг гэж тодорхойлсон.</w:t>
      </w:r>
    </w:p>
    <w:p>
      <w:pPr>
        <w:pStyle w:val="ArticleScripture"/>
        <w:jc w:val="left"/>
      </w:pPr>
      <w:r>
        <w:rPr>
          <w:rFonts w:ascii="Times New Roman" w:hAnsi="Times New Roman" w:eastAsia="Times New Roman" w:cs="Times New Roman"/>
        </w:rPr>
        <w:t>“Sehlopha se sa ikutloeng bohloko ka lebaka la ho kokobela ha sona moeeng, leha e le ho lla ka lebaka la libe tsa ba bang, se tla sala se se na tiiso ea Molimo. Morena o laela baromuoa ba Hae, banna ba nang le libetsa tsa polao matsohong a bona: ‘Tsamaeang ka morao ho eena motseng, le bolaee: le se ke la qenehela ka mahlo a lona, leha e le ho ba hauhela: le bolaee ka ho felletseng ba baholo le ba banyenyane, baroetsana le bana ba banyenyane, le basali: empa le se ke la atamela haufi le motho leha e le ofe eo letšoao le leng holim’a hae; ’me le qale sehalalelong sa Ka. Eaba ba qala ka banna ba baholo ba neng ba le ka pel’a ntlo.’”</w:t>
      </w:r>
    </w:p>
    <w:p>
      <w:pPr>
        <w:pStyle w:val="ArticleScripture"/>
        <w:jc w:val="left"/>
      </w:pPr>
      <w:r>
        <w:rPr>
          <w:rFonts w:ascii="Times New Roman" w:hAnsi="Times New Roman" w:eastAsia="Times New Roman" w:cs="Times New Roman"/>
        </w:rPr>
        <w:t>“Di sini kita melihat bahwa gereja—tempat kudus Tuhan—adalah yang pertama merasakan hantaman murka Allah. Orang-orang tua, mereka yang kepada mereka Allah telah memberikan terang yang besar dan yang telah berdiri sebagai penjaga kepentingan rohani umat, telah mengkhianati kepercayaan yang dipercayakan kepada mereka. Mereka telah mengambil pendirian bahwa kita tidak perlu mengharapkan mukjizat dan pernyataan yang nyata dari kuasa Allah seperti pada hari-hari dahulu. Zaman telah berubah. Kata-kata ini meneguhkan ketidakpercayaan mereka, dan mereka berkata: Tuhan tidak akan berbuat baik, dan Ia juga tidak akan berbuat jahat. Ia terlalu berbelaskasihan untuk menghukum umat-Nya dengan penghakiman. Demikianlah ‘Damai dan aman’ adalah seruan dari orang-orang yang tidak akan pernah lagi mengangkat suara mereka seperti sangkakala untuk menunjukkan kepada umat Allah pelanggaran-pelanggaran mereka dan kepada kaum Yakub dosa-dosa mereka. Anjing-anjing bisu yang tidak mau menggonggong inilah yang merasakan pembalasan yang adil dari Allah yang telah tersinggung. Laki-laki, gadis-gadis muda, dan anak-anak kecil semuanya binasa bersama-sama.”</w:t>
      </w:r>
    </w:p>
    <w:p>
      <w:pPr>
        <w:pStyle w:val="ArticleScripture"/>
        <w:jc w:val="left"/>
      </w:pPr>
      <w:r>
        <w:rPr>
          <w:rFonts w:ascii="Times New Roman" w:hAnsi="Times New Roman" w:eastAsia="Times New Roman" w:cs="Times New Roman"/>
        </w:rPr>
        <w:t>“</w:t>
      </w:r>
      <w:r>
        <w:rPr>
          <w:rFonts w:ascii="Leelawadee UI" w:hAnsi="Leelawadee UI" w:eastAsia="Leelawadee UI" w:cs="Leelawadee UI"/>
        </w:rPr>
        <w:t>สิ่งน่าสะอิดสะเอียนทั้งหลายซึ่งบรรดาผู้สัตย์ซื่อได้คร่ำครวญและร้องไห้อยู่นั้น</w:t>
      </w:r>
      <w:r>
        <w:rPr>
          <w:rFonts w:ascii="Times New Roman" w:hAnsi="Times New Roman" w:eastAsia="Times New Roman" w:cs="Times New Roman"/>
        </w:rPr>
        <w:t xml:space="preserve"> </w:t>
      </w:r>
      <w:r>
        <w:rPr>
          <w:rFonts w:ascii="Leelawadee UI" w:hAnsi="Leelawadee UI" w:eastAsia="Leelawadee UI" w:cs="Leelawadee UI"/>
        </w:rPr>
        <w:t>เป็นเพียงสิ่งที่ตาจำกัดของมนุษย์จะมองเห็นได้เท่านั้น</w:t>
      </w:r>
      <w:r>
        <w:rPr>
          <w:rFonts w:ascii="Times New Roman" w:hAnsi="Times New Roman" w:eastAsia="Times New Roman" w:cs="Times New Roman"/>
        </w:rPr>
        <w:t xml:space="preserve"> </w:t>
      </w:r>
      <w:r>
        <w:rPr>
          <w:rFonts w:ascii="Leelawadee UI" w:hAnsi="Leelawadee UI" w:eastAsia="Leelawadee UI" w:cs="Leelawadee UI"/>
        </w:rPr>
        <w:t>แต่บาปที่เลวร้ายยิ่งกว่านั้นมาก</w:t>
      </w:r>
      <w:r>
        <w:rPr>
          <w:rFonts w:ascii="Times New Roman" w:hAnsi="Times New Roman" w:eastAsia="Times New Roman" w:cs="Times New Roman"/>
        </w:rPr>
        <w:t xml:space="preserve"> </w:t>
      </w:r>
      <w:r>
        <w:rPr>
          <w:rFonts w:ascii="Leelawadee UI" w:hAnsi="Leelawadee UI" w:eastAsia="Leelawadee UI" w:cs="Leelawadee UI"/>
        </w:rPr>
        <w:t>คือบาปทั้งหลายที่กระตุ้นความหวงแหนอันบริสุทธิ์และศักดิ์สิทธิ์ของพระเจ้า</w:t>
      </w:r>
      <w:r>
        <w:rPr>
          <w:rFonts w:ascii="Times New Roman" w:hAnsi="Times New Roman" w:eastAsia="Times New Roman" w:cs="Times New Roman"/>
        </w:rPr>
        <w:t xml:space="preserve"> </w:t>
      </w:r>
      <w:r>
        <w:rPr>
          <w:rFonts w:ascii="Leelawadee UI" w:hAnsi="Leelawadee UI" w:eastAsia="Leelawadee UI" w:cs="Leelawadee UI"/>
        </w:rPr>
        <w:t>กลับมิได้ถูกเปิดเผยออกมา</w:t>
      </w:r>
      <w:r>
        <w:rPr>
          <w:rFonts w:ascii="Times New Roman" w:hAnsi="Times New Roman" w:eastAsia="Times New Roman" w:cs="Times New Roman"/>
        </w:rPr>
        <w:t xml:space="preserve"> </w:t>
      </w:r>
      <w:r>
        <w:rPr>
          <w:rFonts w:ascii="Leelawadee UI" w:hAnsi="Leelawadee UI" w:eastAsia="Leelawadee UI" w:cs="Leelawadee UI"/>
        </w:rPr>
        <w:t>พระองค์ผู้ทรงตรวจค้นจิตใจอันยิ่งใหญ่</w:t>
      </w:r>
      <w:r>
        <w:rPr>
          <w:rFonts w:ascii="Times New Roman" w:hAnsi="Times New Roman" w:eastAsia="Times New Roman" w:cs="Times New Roman"/>
        </w:rPr>
        <w:t xml:space="preserve"> </w:t>
      </w:r>
      <w:r>
        <w:rPr>
          <w:rFonts w:ascii="Leelawadee UI" w:hAnsi="Leelawadee UI" w:eastAsia="Leelawadee UI" w:cs="Leelawadee UI"/>
        </w:rPr>
        <w:t>ทรงรู้บาปทุกประการที่ถูกกระทำอย่างลับ</w:t>
      </w:r>
      <w:r>
        <w:rPr>
          <w:rFonts w:ascii="Times New Roman" w:hAnsi="Times New Roman" w:eastAsia="Times New Roman" w:cs="Times New Roman"/>
        </w:rPr>
        <w:t xml:space="preserve"> </w:t>
      </w:r>
      <w:r>
        <w:rPr>
          <w:rFonts w:ascii="Leelawadee UI" w:hAnsi="Leelawadee UI" w:eastAsia="Leelawadee UI" w:cs="Leelawadee UI"/>
        </w:rPr>
        <w:t>ๆ</w:t>
      </w:r>
      <w:r>
        <w:rPr>
          <w:rFonts w:ascii="Times New Roman" w:hAnsi="Times New Roman" w:eastAsia="Times New Roman" w:cs="Times New Roman"/>
        </w:rPr>
        <w:t xml:space="preserve"> </w:t>
      </w:r>
      <w:r>
        <w:rPr>
          <w:rFonts w:ascii="Leelawadee UI" w:hAnsi="Leelawadee UI" w:eastAsia="Leelawadee UI" w:cs="Leelawadee UI"/>
        </w:rPr>
        <w:t>โดยบรรดาผู้กระทำความชั่ว</w:t>
      </w:r>
      <w:r>
        <w:rPr>
          <w:rFonts w:ascii="Times New Roman" w:hAnsi="Times New Roman" w:eastAsia="Times New Roman" w:cs="Times New Roman"/>
        </w:rPr>
        <w:t xml:space="preserve"> </w:t>
      </w:r>
      <w:r>
        <w:rPr>
          <w:rFonts w:ascii="Leelawadee UI" w:hAnsi="Leelawadee UI" w:eastAsia="Leelawadee UI" w:cs="Leelawadee UI"/>
        </w:rPr>
        <w:t>คนเหล่านี้กลับรู้สึกมั่นคงปลอดภัยอยู่ในเล่ห์ลวงของตน</w:t>
      </w:r>
      <w:r>
        <w:rPr>
          <w:rFonts w:ascii="Times New Roman" w:hAnsi="Times New Roman" w:eastAsia="Times New Roman" w:cs="Times New Roman"/>
        </w:rPr>
        <w:t xml:space="preserve"> </w:t>
      </w:r>
      <w:r>
        <w:rPr>
          <w:rFonts w:ascii="Leelawadee UI" w:hAnsi="Leelawadee UI" w:eastAsia="Leelawadee UI" w:cs="Leelawadee UI"/>
        </w:rPr>
        <w:t>และเพราะพระองค์ทรงอดกลั้นไว้นาน</w:t>
      </w:r>
      <w:r>
        <w:rPr>
          <w:rFonts w:ascii="Times New Roman" w:hAnsi="Times New Roman" w:eastAsia="Times New Roman" w:cs="Times New Roman"/>
        </w:rPr>
        <w:t xml:space="preserve"> </w:t>
      </w:r>
      <w:r>
        <w:rPr>
          <w:rFonts w:ascii="Leelawadee UI" w:hAnsi="Leelawadee UI" w:eastAsia="Leelawadee UI" w:cs="Leelawadee UI"/>
        </w:rPr>
        <w:t>จึงกล่าวว่าพระยาห์เวห์มิได้ทอดพระเนตรเห็น</w:t>
      </w:r>
      <w:r>
        <w:rPr>
          <w:rFonts w:ascii="Times New Roman" w:hAnsi="Times New Roman" w:eastAsia="Times New Roman" w:cs="Times New Roman"/>
        </w:rPr>
        <w:t xml:space="preserve"> </w:t>
      </w:r>
      <w:r>
        <w:rPr>
          <w:rFonts w:ascii="Leelawadee UI" w:hAnsi="Leelawadee UI" w:eastAsia="Leelawadee UI" w:cs="Leelawadee UI"/>
        </w:rPr>
        <w:t>แล้วจึงประพฤติเสมือนว่าพระองค์ได้ทรงละทิ้งแผ่นดินโลกไปแล้ว</w:t>
      </w:r>
      <w:r>
        <w:rPr>
          <w:rFonts w:ascii="Times New Roman" w:hAnsi="Times New Roman" w:eastAsia="Times New Roman" w:cs="Times New Roman"/>
        </w:rPr>
        <w:t xml:space="preserve"> </w:t>
      </w:r>
      <w:r>
        <w:rPr>
          <w:rFonts w:ascii="Leelawadee UI" w:hAnsi="Leelawadee UI" w:eastAsia="Leelawadee UI" w:cs="Leelawadee UI"/>
        </w:rPr>
        <w:t>แต่พระองค์จะทรงเปิดโปงความหน้าซื่อใจคดของเขา</w:t>
      </w:r>
      <w:r>
        <w:rPr>
          <w:rFonts w:ascii="Times New Roman" w:hAnsi="Times New Roman" w:eastAsia="Times New Roman" w:cs="Times New Roman"/>
        </w:rPr>
        <w:t xml:space="preserve"> </w:t>
      </w:r>
      <w:r>
        <w:rPr>
          <w:rFonts w:ascii="Leelawadee UI" w:hAnsi="Leelawadee UI" w:eastAsia="Leelawadee UI" w:cs="Leelawadee UI"/>
        </w:rPr>
        <w:t>และจะทรงเปิดเผยต่อหน้าผู้อื่นถึงบาปทั้งหลายซึ่งพวกเขาระมัดระวังอย่างยิ่งที่จะปกปิดไว้</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“Tiada keunggulan pangkat, martabat, atau hikmat duniawi, tiada kedudukan dalam jawatan suci, yang akan memelihara manusia daripada mengorbankan prinsip apabila mereka dibiarkan kepada hati mereka sendiri yang penuh tipu daya. Mereka yang telah dianggap layak dan benar terbukti menjadi ketua-ketua dalam kemurtadan serta teladan dalam sikap tidak peduli dan dalam penyalahgunaan kemurahan Allah. Jalan jahat mereka tidak lagi akan ditoleransi-Nya, dan dalam murka-Nya Dia bertindak terhadap mereka tanpa belas kasihan.</w:t>
      </w:r>
    </w:p>
    <w:p>
      <w:pPr>
        <w:pStyle w:val="ArticleScripture"/>
        <w:jc w:val="left"/>
      </w:pPr>
      <w:r>
        <w:rPr>
          <w:rFonts w:ascii="Times New Roman" w:hAnsi="Times New Roman" w:eastAsia="Times New Roman" w:cs="Times New Roman"/>
        </w:rPr>
        <w:t>“</w:t>
      </w:r>
      <w:r>
        <w:rPr>
          <w:rFonts w:ascii="Nirmala UI" w:hAnsi="Nirmala UI" w:eastAsia="Nirmala UI" w:cs="Nirmala UI"/>
        </w:rPr>
        <w:t>ᱵᱟᱲ</w:t>
      </w:r>
      <w:r>
        <w:rPr>
          <w:rFonts w:ascii="Times New Roman" w:hAnsi="Times New Roman" w:eastAsia="Times New Roman" w:cs="Times New Roman"/>
        </w:rPr>
        <w:t xml:space="preserve"> </w:t>
      </w:r>
      <w:r>
        <w:rPr>
          <w:rFonts w:ascii="Nirmala UI" w:hAnsi="Nirmala UI" w:eastAsia="Nirmala UI" w:cs="Nirmala UI"/>
        </w:rPr>
        <w:t>ᱟᱱᱟᱵᱟᱜ</w:t>
      </w:r>
      <w:r>
        <w:rPr>
          <w:rFonts w:ascii="Times New Roman" w:hAnsi="Times New Roman" w:eastAsia="Times New Roman" w:cs="Times New Roman"/>
        </w:rPr>
        <w:t xml:space="preserve"> </w:t>
      </w:r>
      <w:r>
        <w:rPr>
          <w:rFonts w:ascii="Nirmala UI" w:hAnsi="Nirmala UI" w:eastAsia="Nirmala UI" w:cs="Nirmala UI"/>
        </w:rPr>
        <w:t>ᱥᱟᱶᱛᱮ</w:t>
      </w:r>
      <w:r>
        <w:rPr>
          <w:rFonts w:ascii="Times New Roman" w:hAnsi="Times New Roman" w:eastAsia="Times New Roman" w:cs="Times New Roman"/>
        </w:rPr>
        <w:t xml:space="preserve"> </w:t>
      </w:r>
      <w:r>
        <w:rPr>
          <w:rFonts w:ascii="Nirmala UI" w:hAnsi="Nirmala UI" w:eastAsia="Nirmala UI" w:cs="Nirmala UI"/>
        </w:rPr>
        <w:t>ᱯᱨᱚᱵᱷᱩ</w:t>
      </w:r>
      <w:r>
        <w:rPr>
          <w:rFonts w:ascii="Times New Roman" w:hAnsi="Times New Roman" w:eastAsia="Times New Roman" w:cs="Times New Roman"/>
        </w:rPr>
        <w:t xml:space="preserve"> </w:t>
      </w:r>
      <w:r>
        <w:rPr>
          <w:rFonts w:ascii="Nirmala UI" w:hAnsi="Nirmala UI" w:eastAsia="Nirmala UI" w:cs="Nirmala UI"/>
        </w:rPr>
        <w:t>ᱚᱱᱟ</w:t>
      </w:r>
      <w:r>
        <w:rPr>
          <w:rFonts w:ascii="Times New Roman" w:hAnsi="Times New Roman" w:eastAsia="Times New Roman" w:cs="Times New Roman"/>
        </w:rPr>
        <w:t xml:space="preserve"> </w:t>
      </w:r>
      <w:r>
        <w:rPr>
          <w:rFonts w:ascii="Nirmala UI" w:hAnsi="Nirmala UI" w:eastAsia="Nirmala UI" w:cs="Nirmala UI"/>
        </w:rPr>
        <w:t>ᱦᱚᱲ</w:t>
      </w:r>
      <w:r>
        <w:rPr>
          <w:rFonts w:ascii="Times New Roman" w:hAnsi="Times New Roman" w:eastAsia="Times New Roman" w:cs="Times New Roman"/>
        </w:rPr>
        <w:t xml:space="preserve"> </w:t>
      </w:r>
      <w:r>
        <w:rPr>
          <w:rFonts w:ascii="Nirmala UI" w:hAnsi="Nirmala UI" w:eastAsia="Nirmala UI" w:cs="Nirmala UI"/>
        </w:rPr>
        <w:t>ᱠᱷᱟᱱ</w:t>
      </w:r>
      <w:r>
        <w:rPr>
          <w:rFonts w:ascii="Times New Roman" w:hAnsi="Times New Roman" w:eastAsia="Times New Roman" w:cs="Times New Roman"/>
        </w:rPr>
        <w:t xml:space="preserve"> </w:t>
      </w:r>
      <w:r>
        <w:rPr>
          <w:rFonts w:ascii="Nirmala UI" w:hAnsi="Nirmala UI" w:eastAsia="Nirmala UI" w:cs="Nirmala UI"/>
        </w:rPr>
        <w:t>ᱟᱯᱱᱟᱜ</w:t>
      </w:r>
      <w:r>
        <w:rPr>
          <w:rFonts w:ascii="Times New Roman" w:hAnsi="Times New Roman" w:eastAsia="Times New Roman" w:cs="Times New Roman"/>
        </w:rPr>
        <w:t xml:space="preserve"> </w:t>
      </w:r>
      <w:r>
        <w:rPr>
          <w:rFonts w:ascii="Nirmala UI" w:hAnsi="Nirmala UI" w:eastAsia="Nirmala UI" w:cs="Nirmala UI"/>
        </w:rPr>
        <w:t>ᱦᱟᱹᱡᱤᱨᱤ</w:t>
      </w:r>
      <w:r>
        <w:rPr>
          <w:rFonts w:ascii="Times New Roman" w:hAnsi="Times New Roman" w:eastAsia="Times New Roman" w:cs="Times New Roman"/>
        </w:rPr>
        <w:t xml:space="preserve"> </w:t>
      </w:r>
      <w:r>
        <w:rPr>
          <w:rFonts w:ascii="Nirmala UI" w:hAnsi="Nirmala UI" w:eastAsia="Nirmala UI" w:cs="Nirmala UI"/>
        </w:rPr>
        <w:t>ᱚᱰᱚᱜᱼᱟ</w:t>
      </w:r>
      <w:r>
        <w:rPr>
          <w:rFonts w:ascii="Times New Roman" w:hAnsi="Times New Roman" w:eastAsia="Times New Roman" w:cs="Times New Roman"/>
        </w:rPr>
        <w:t xml:space="preserve">, </w:t>
      </w:r>
      <w:r>
        <w:rPr>
          <w:rFonts w:ascii="Nirmala UI" w:hAnsi="Nirmala UI" w:eastAsia="Nirmala UI" w:cs="Nirmala UI"/>
        </w:rPr>
        <w:t>ᱚᱠᱚᱭ</w:t>
      </w:r>
      <w:r>
        <w:rPr>
          <w:rFonts w:ascii="Times New Roman" w:hAnsi="Times New Roman" w:eastAsia="Times New Roman" w:cs="Times New Roman"/>
        </w:rPr>
        <w:t xml:space="preserve"> </w:t>
      </w:r>
      <w:r>
        <w:rPr>
          <w:rFonts w:ascii="Nirmala UI" w:hAnsi="Nirmala UI" w:eastAsia="Nirmala UI" w:cs="Nirmala UI"/>
        </w:rPr>
        <w:t>ᱢᱟᱦᱟᱱ</w:t>
      </w:r>
      <w:r>
        <w:rPr>
          <w:rFonts w:ascii="Times New Roman" w:hAnsi="Times New Roman" w:eastAsia="Times New Roman" w:cs="Times New Roman"/>
        </w:rPr>
        <w:t xml:space="preserve"> </w:t>
      </w:r>
      <w:r>
        <w:rPr>
          <w:rFonts w:ascii="Nirmala UI" w:hAnsi="Nirmala UI" w:eastAsia="Nirmala UI" w:cs="Nirmala UI"/>
        </w:rPr>
        <w:t>ᱟᱞᱚ</w:t>
      </w:r>
      <w:r>
        <w:rPr>
          <w:rFonts w:ascii="Times New Roman" w:hAnsi="Times New Roman" w:eastAsia="Times New Roman" w:cs="Times New Roman"/>
        </w:rPr>
        <w:t xml:space="preserve"> </w:t>
      </w:r>
      <w:r>
        <w:rPr>
          <w:rFonts w:ascii="Nirmala UI" w:hAnsi="Nirmala UI" w:eastAsia="Nirmala UI" w:cs="Nirmala UI"/>
        </w:rPr>
        <w:t>ᱛᱮ</w:t>
      </w:r>
      <w:r>
        <w:rPr>
          <w:rFonts w:ascii="Times New Roman" w:hAnsi="Times New Roman" w:eastAsia="Times New Roman" w:cs="Times New Roman"/>
        </w:rPr>
        <w:t xml:space="preserve"> </w:t>
      </w:r>
      <w:r>
        <w:rPr>
          <w:rFonts w:ascii="Nirmala UI" w:hAnsi="Nirmala UI" w:eastAsia="Nirmala UI" w:cs="Nirmala UI"/>
        </w:rPr>
        <w:t>ᱟᱥᱤᱨᱵᱟᱫ</w:t>
      </w:r>
      <w:r>
        <w:rPr>
          <w:rFonts w:ascii="Times New Roman" w:hAnsi="Times New Roman" w:eastAsia="Times New Roman" w:cs="Times New Roman"/>
        </w:rPr>
        <w:t xml:space="preserve"> </w:t>
      </w:r>
      <w:r>
        <w:rPr>
          <w:rFonts w:ascii="Nirmala UI" w:hAnsi="Nirmala UI" w:eastAsia="Nirmala UI" w:cs="Nirmala UI"/>
        </w:rPr>
        <w:t>ᱮᱢᱟᱠᱟᱱᱟ</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ᱚᱠᱚᱭ</w:t>
      </w:r>
      <w:r>
        <w:rPr>
          <w:rFonts w:ascii="Times New Roman" w:hAnsi="Times New Roman" w:eastAsia="Times New Roman" w:cs="Times New Roman"/>
        </w:rPr>
        <w:t xml:space="preserve"> </w:t>
      </w:r>
      <w:r>
        <w:rPr>
          <w:rFonts w:ascii="Nirmala UI" w:hAnsi="Nirmala UI" w:eastAsia="Nirmala UI" w:cs="Nirmala UI"/>
        </w:rPr>
        <w:t>ᱮᱴᱟᱜ</w:t>
      </w:r>
      <w:r>
        <w:rPr>
          <w:rFonts w:ascii="Times New Roman" w:hAnsi="Times New Roman" w:eastAsia="Times New Roman" w:cs="Times New Roman"/>
        </w:rPr>
        <w:t xml:space="preserve"> </w:t>
      </w:r>
      <w:r>
        <w:rPr>
          <w:rFonts w:ascii="Nirmala UI" w:hAnsi="Nirmala UI" w:eastAsia="Nirmala UI" w:cs="Nirmala UI"/>
        </w:rPr>
        <w:t>ᱠᱚᱠᱚ</w:t>
      </w:r>
      <w:r>
        <w:rPr>
          <w:rFonts w:ascii="Times New Roman" w:hAnsi="Times New Roman" w:eastAsia="Times New Roman" w:cs="Times New Roman"/>
        </w:rPr>
        <w:t xml:space="preserve"> </w:t>
      </w:r>
      <w:r>
        <w:rPr>
          <w:rFonts w:ascii="Nirmala UI" w:hAnsi="Nirmala UI" w:eastAsia="Nirmala UI" w:cs="Nirmala UI"/>
        </w:rPr>
        <w:t>ᱥᱮᱵᱟ</w:t>
      </w:r>
      <w:r>
        <w:rPr>
          <w:rFonts w:ascii="Times New Roman" w:hAnsi="Times New Roman" w:eastAsia="Times New Roman" w:cs="Times New Roman"/>
        </w:rPr>
        <w:t xml:space="preserve"> </w:t>
      </w:r>
      <w:r>
        <w:rPr>
          <w:rFonts w:ascii="Nirmala UI" w:hAnsi="Nirmala UI" w:eastAsia="Nirmala UI" w:cs="Nirmala UI"/>
        </w:rPr>
        <w:t>ᱛᱮ</w:t>
      </w:r>
      <w:r>
        <w:rPr>
          <w:rFonts w:ascii="Times New Roman" w:hAnsi="Times New Roman" w:eastAsia="Times New Roman" w:cs="Times New Roman"/>
        </w:rPr>
        <w:t xml:space="preserve"> </w:t>
      </w:r>
      <w:r>
        <w:rPr>
          <w:rFonts w:ascii="Nirmala UI" w:hAnsi="Nirmala UI" w:eastAsia="Nirmala UI" w:cs="Nirmala UI"/>
        </w:rPr>
        <w:t>ᱣᱟᱜᱽᱟᱱ</w:t>
      </w:r>
      <w:r>
        <w:rPr>
          <w:rFonts w:ascii="Times New Roman" w:hAnsi="Times New Roman" w:eastAsia="Times New Roman" w:cs="Times New Roman"/>
        </w:rPr>
        <w:t xml:space="preserve"> </w:t>
      </w:r>
      <w:r>
        <w:rPr>
          <w:rFonts w:ascii="Nirmala UI" w:hAnsi="Nirmala UI" w:eastAsia="Nirmala UI" w:cs="Nirmala UI"/>
        </w:rPr>
        <w:t>ᱯᱟᱹᱦᱤᱞ</w:t>
      </w:r>
      <w:r>
        <w:rPr>
          <w:rFonts w:ascii="Times New Roman" w:hAnsi="Times New Roman" w:eastAsia="Times New Roman" w:cs="Times New Roman"/>
        </w:rPr>
        <w:t xml:space="preserve"> </w:t>
      </w:r>
      <w:r>
        <w:rPr>
          <w:rFonts w:ascii="Nirmala UI" w:hAnsi="Nirmala UI" w:eastAsia="Nirmala UI" w:cs="Nirmala UI"/>
        </w:rPr>
        <w:t>ᱠᱟᱡ</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ᱚᱱᱟ</w:t>
      </w:r>
      <w:r>
        <w:rPr>
          <w:rFonts w:ascii="Times New Roman" w:hAnsi="Times New Roman" w:eastAsia="Times New Roman" w:cs="Times New Roman"/>
        </w:rPr>
        <w:t xml:space="preserve"> </w:t>
      </w:r>
      <w:r>
        <w:rPr>
          <w:rFonts w:ascii="Nirmala UI" w:hAnsi="Nirmala UI" w:eastAsia="Nirmala UI" w:cs="Nirmala UI"/>
        </w:rPr>
        <w:t>ᱠᱟᱛᱷᱟ</w:t>
      </w:r>
      <w:r>
        <w:rPr>
          <w:rFonts w:ascii="Times New Roman" w:hAnsi="Times New Roman" w:eastAsia="Times New Roman" w:cs="Times New Roman"/>
        </w:rPr>
        <w:t xml:space="preserve"> </w:t>
      </w:r>
      <w:r>
        <w:rPr>
          <w:rFonts w:ascii="Nirmala UI" w:hAnsi="Nirmala UI" w:eastAsia="Nirmala UI" w:cs="Nirmala UI"/>
        </w:rPr>
        <w:t>ᱨᱮᱭᱟᱜ</w:t>
      </w:r>
      <w:r>
        <w:rPr>
          <w:rFonts w:ascii="Times New Roman" w:hAnsi="Times New Roman" w:eastAsia="Times New Roman" w:cs="Times New Roman"/>
        </w:rPr>
        <w:t xml:space="preserve"> </w:t>
      </w:r>
      <w:r>
        <w:rPr>
          <w:rFonts w:ascii="Nirmala UI" w:hAnsi="Nirmala UI" w:eastAsia="Nirmala UI" w:cs="Nirmala UI"/>
        </w:rPr>
        <w:t>ᱥᱟᱭᱛᱟᱹᱣ</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ᱵᱚᱞ</w:t>
      </w:r>
      <w:r>
        <w:rPr>
          <w:rFonts w:ascii="Times New Roman" w:hAnsi="Times New Roman" w:eastAsia="Times New Roman" w:cs="Times New Roman"/>
        </w:rPr>
        <w:t xml:space="preserve"> </w:t>
      </w:r>
      <w:r>
        <w:rPr>
          <w:rFonts w:ascii="Nirmala UI" w:hAnsi="Nirmala UI" w:eastAsia="Nirmala UI" w:cs="Nirmala UI"/>
        </w:rPr>
        <w:t>ᱟᱭᱢ</w:t>
      </w:r>
      <w:r>
        <w:rPr>
          <w:rFonts w:ascii="Times New Roman" w:hAnsi="Times New Roman" w:eastAsia="Times New Roman" w:cs="Times New Roman"/>
        </w:rPr>
        <w:t xml:space="preserve"> </w:t>
      </w:r>
      <w:r>
        <w:rPr>
          <w:rFonts w:ascii="Nirmala UI" w:hAnsi="Nirmala UI" w:eastAsia="Nirmala UI" w:cs="Nirmala UI"/>
        </w:rPr>
        <w:t>ᱞᱮᱫᱟ</w:t>
      </w:r>
      <w:r>
        <w:rPr>
          <w:rFonts w:ascii="Times New Roman" w:hAnsi="Times New Roman" w:eastAsia="Times New Roman" w:cs="Times New Roman"/>
        </w:rPr>
        <w:t xml:space="preserve">. </w:t>
      </w:r>
      <w:r>
        <w:rPr>
          <w:rFonts w:ascii="Nirmala UI" w:hAnsi="Nirmala UI" w:eastAsia="Nirmala UI" w:cs="Nirmala UI"/>
        </w:rPr>
        <w:t>ᱩᱱᱠᱩ</w:t>
      </w:r>
      <w:r>
        <w:rPr>
          <w:rFonts w:ascii="Times New Roman" w:hAnsi="Times New Roman" w:eastAsia="Times New Roman" w:cs="Times New Roman"/>
        </w:rPr>
        <w:t xml:space="preserve"> </w:t>
      </w:r>
      <w:r>
        <w:rPr>
          <w:rFonts w:ascii="Nirmala UI" w:hAnsi="Nirmala UI" w:eastAsia="Nirmala UI" w:cs="Nirmala UI"/>
        </w:rPr>
        <w:t>ᱢᱤᱫ</w:t>
      </w:r>
      <w:r>
        <w:rPr>
          <w:rFonts w:ascii="Times New Roman" w:hAnsi="Times New Roman" w:eastAsia="Times New Roman" w:cs="Times New Roman"/>
        </w:rPr>
        <w:t xml:space="preserve"> </w:t>
      </w:r>
      <w:r>
        <w:rPr>
          <w:rFonts w:ascii="Nirmala UI" w:hAnsi="Nirmala UI" w:eastAsia="Nirmala UI" w:cs="Nirmala UI"/>
        </w:rPr>
        <w:t>ᱥᱚᱢᱚᱭ</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ᱩᱱᱤᱭᱟᱜ</w:t>
      </w:r>
      <w:r>
        <w:rPr>
          <w:rFonts w:ascii="Times New Roman" w:hAnsi="Times New Roman" w:eastAsia="Times New Roman" w:cs="Times New Roman"/>
        </w:rPr>
        <w:t xml:space="preserve"> </w:t>
      </w:r>
      <w:r>
        <w:rPr>
          <w:rFonts w:ascii="Nirmala UI" w:hAnsi="Nirmala UI" w:eastAsia="Nirmala UI" w:cs="Nirmala UI"/>
        </w:rPr>
        <w:t>ᱵᱤᱥᱥᱟᱥᱭᱚᱜ</w:t>
      </w:r>
      <w:r>
        <w:rPr>
          <w:rFonts w:ascii="Times New Roman" w:hAnsi="Times New Roman" w:eastAsia="Times New Roman" w:cs="Times New Roman"/>
        </w:rPr>
        <w:t xml:space="preserve"> </w:t>
      </w:r>
      <w:r>
        <w:rPr>
          <w:rFonts w:ascii="Nirmala UI" w:hAnsi="Nirmala UI" w:eastAsia="Nirmala UI" w:cs="Nirmala UI"/>
        </w:rPr>
        <w:t>ᱥᱮᱵᱚᱠ</w:t>
      </w:r>
      <w:r>
        <w:rPr>
          <w:rFonts w:ascii="Times New Roman" w:hAnsi="Times New Roman" w:eastAsia="Times New Roman" w:cs="Times New Roman"/>
        </w:rPr>
        <w:t xml:space="preserve"> </w:t>
      </w:r>
      <w:r>
        <w:rPr>
          <w:rFonts w:ascii="Nirmala UI" w:hAnsi="Nirmala UI" w:eastAsia="Nirmala UI" w:cs="Nirmala UI"/>
        </w:rPr>
        <w:t>ᱛᱟᱦᱮᱱᱠᱟᱱᱟ</w:t>
      </w:r>
      <w:r>
        <w:rPr>
          <w:rFonts w:ascii="Times New Roman" w:hAnsi="Times New Roman" w:eastAsia="Times New Roman" w:cs="Times New Roman"/>
        </w:rPr>
        <w:t xml:space="preserve">, </w:t>
      </w:r>
      <w:r>
        <w:rPr>
          <w:rFonts w:ascii="Nirmala UI" w:hAnsi="Nirmala UI" w:eastAsia="Nirmala UI" w:cs="Nirmala UI"/>
        </w:rPr>
        <w:t>ᱩᱱᱤᱭᱟᱜ</w:t>
      </w:r>
      <w:r>
        <w:rPr>
          <w:rFonts w:ascii="Times New Roman" w:hAnsi="Times New Roman" w:eastAsia="Times New Roman" w:cs="Times New Roman"/>
        </w:rPr>
        <w:t xml:space="preserve"> </w:t>
      </w:r>
      <w:r>
        <w:rPr>
          <w:rFonts w:ascii="Nirmala UI" w:hAnsi="Nirmala UI" w:eastAsia="Nirmala UI" w:cs="Nirmala UI"/>
        </w:rPr>
        <w:t>ᱦᱟᱹᱡᱤᱨᱤ</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ᱯᱚᱨᱤᱪᱟᱞᱚᱱ</w:t>
      </w:r>
      <w:r>
        <w:rPr>
          <w:rFonts w:ascii="Times New Roman" w:hAnsi="Times New Roman" w:eastAsia="Times New Roman" w:cs="Times New Roman"/>
        </w:rPr>
        <w:t xml:space="preserve"> </w:t>
      </w:r>
      <w:r>
        <w:rPr>
          <w:rFonts w:ascii="Nirmala UI" w:hAnsi="Nirmala UI" w:eastAsia="Nirmala UI" w:cs="Nirmala UI"/>
        </w:rPr>
        <w:t>ᱛᱮ</w:t>
      </w:r>
      <w:r>
        <w:rPr>
          <w:rFonts w:ascii="Times New Roman" w:hAnsi="Times New Roman" w:eastAsia="Times New Roman" w:cs="Times New Roman"/>
        </w:rPr>
        <w:t xml:space="preserve"> </w:t>
      </w:r>
      <w:r>
        <w:rPr>
          <w:rFonts w:ascii="Nirmala UI" w:hAnsi="Nirmala UI" w:eastAsia="Nirmala UI" w:cs="Nirmala UI"/>
        </w:rPr>
        <w:t>ᱠᱩᱥᱤᱼᱟᱫᱮᱨ</w:t>
      </w:r>
      <w:r>
        <w:rPr>
          <w:rFonts w:ascii="Times New Roman" w:hAnsi="Times New Roman" w:eastAsia="Times New Roman" w:cs="Times New Roman"/>
        </w:rPr>
        <w:t xml:space="preserve"> </w:t>
      </w:r>
      <w:r>
        <w:rPr>
          <w:rFonts w:ascii="Nirmala UI" w:hAnsi="Nirmala UI" w:eastAsia="Nirmala UI" w:cs="Nirmala UI"/>
        </w:rPr>
        <w:t>ᱮᱢᱟᱠᱟᱱᱟ</w:t>
      </w:r>
      <w:r>
        <w:rPr>
          <w:rFonts w:ascii="Times New Roman" w:hAnsi="Times New Roman" w:eastAsia="Times New Roman" w:cs="Times New Roman"/>
        </w:rPr>
        <w:t xml:space="preserve">; </w:t>
      </w:r>
      <w:r>
        <w:rPr>
          <w:rFonts w:ascii="Nirmala UI" w:hAnsi="Nirmala UI" w:eastAsia="Nirmala UI" w:cs="Nirmala UI"/>
        </w:rPr>
        <w:t>ᱢᱮᱱᱠᱷᱟᱱ</w:t>
      </w:r>
      <w:r>
        <w:rPr>
          <w:rFonts w:ascii="Times New Roman" w:hAnsi="Times New Roman" w:eastAsia="Times New Roman" w:cs="Times New Roman"/>
        </w:rPr>
        <w:t xml:space="preserve"> </w:t>
      </w:r>
      <w:r>
        <w:rPr>
          <w:rFonts w:ascii="Nirmala UI" w:hAnsi="Nirmala UI" w:eastAsia="Nirmala UI" w:cs="Nirmala UI"/>
        </w:rPr>
        <w:t>ᱩᱱᱠᱩ</w:t>
      </w:r>
      <w:r>
        <w:rPr>
          <w:rFonts w:ascii="Times New Roman" w:hAnsi="Times New Roman" w:eastAsia="Times New Roman" w:cs="Times New Roman"/>
        </w:rPr>
        <w:t xml:space="preserve"> </w:t>
      </w:r>
      <w:r>
        <w:rPr>
          <w:rFonts w:ascii="Nirmala UI" w:hAnsi="Nirmala UI" w:eastAsia="Nirmala UI" w:cs="Nirmala UI"/>
        </w:rPr>
        <w:t>ᱩᱱᱤ</w:t>
      </w:r>
      <w:r>
        <w:rPr>
          <w:rFonts w:ascii="Times New Roman" w:hAnsi="Times New Roman" w:eastAsia="Times New Roman" w:cs="Times New Roman"/>
        </w:rPr>
        <w:t xml:space="preserve"> </w:t>
      </w:r>
      <w:r>
        <w:rPr>
          <w:rFonts w:ascii="Nirmala UI" w:hAnsi="Nirmala UI" w:eastAsia="Nirmala UI" w:cs="Nirmala UI"/>
        </w:rPr>
        <w:t>ᱠᱷᱟᱱ</w:t>
      </w:r>
      <w:r>
        <w:rPr>
          <w:rFonts w:ascii="Times New Roman" w:hAnsi="Times New Roman" w:eastAsia="Times New Roman" w:cs="Times New Roman"/>
        </w:rPr>
        <w:t xml:space="preserve"> </w:t>
      </w:r>
      <w:r>
        <w:rPr>
          <w:rFonts w:ascii="Nirmala UI" w:hAnsi="Nirmala UI" w:eastAsia="Nirmala UI" w:cs="Nirmala UI"/>
        </w:rPr>
        <w:t>ᱥᱮᱱᱚᱜ</w:t>
      </w:r>
      <w:r>
        <w:rPr>
          <w:rFonts w:ascii="Times New Roman" w:hAnsi="Times New Roman" w:eastAsia="Times New Roman" w:cs="Times New Roman"/>
        </w:rPr>
        <w:t xml:space="preserve"> </w:t>
      </w:r>
      <w:r>
        <w:rPr>
          <w:rFonts w:ascii="Nirmala UI" w:hAnsi="Nirmala UI" w:eastAsia="Nirmala UI" w:cs="Nirmala UI"/>
        </w:rPr>
        <w:t>ᱮᱱᱟ</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ᱮᱴᱟᱜ</w:t>
      </w:r>
      <w:r>
        <w:rPr>
          <w:rFonts w:ascii="Times New Roman" w:hAnsi="Times New Roman" w:eastAsia="Times New Roman" w:cs="Times New Roman"/>
        </w:rPr>
        <w:t xml:space="preserve"> </w:t>
      </w:r>
      <w:r>
        <w:rPr>
          <w:rFonts w:ascii="Nirmala UI" w:hAnsi="Nirmala UI" w:eastAsia="Nirmala UI" w:cs="Nirmala UI"/>
        </w:rPr>
        <w:t>ᱠᱚ</w:t>
      </w:r>
      <w:r>
        <w:rPr>
          <w:rFonts w:ascii="Times New Roman" w:hAnsi="Times New Roman" w:eastAsia="Times New Roman" w:cs="Times New Roman"/>
        </w:rPr>
        <w:t xml:space="preserve"> </w:t>
      </w:r>
      <w:r>
        <w:rPr>
          <w:rFonts w:ascii="Nirmala UI" w:hAnsi="Nirmala UI" w:eastAsia="Nirmala UI" w:cs="Nirmala UI"/>
        </w:rPr>
        <w:t>ᱵᱷᱩᱞ</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ᱟᱲᱜᱩ</w:t>
      </w:r>
      <w:r>
        <w:rPr>
          <w:rFonts w:ascii="Times New Roman" w:hAnsi="Times New Roman" w:eastAsia="Times New Roman" w:cs="Times New Roman"/>
        </w:rPr>
        <w:t xml:space="preserve"> </w:t>
      </w:r>
      <w:r>
        <w:rPr>
          <w:rFonts w:ascii="Nirmala UI" w:hAnsi="Nirmala UI" w:eastAsia="Nirmala UI" w:cs="Nirmala UI"/>
        </w:rPr>
        <w:t>ᱠᱚᱣᱟ</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ᱚᱱᱟᱛᱮ</w:t>
      </w:r>
      <w:r>
        <w:rPr>
          <w:rFonts w:ascii="Times New Roman" w:hAnsi="Times New Roman" w:eastAsia="Times New Roman" w:cs="Times New Roman"/>
        </w:rPr>
        <w:t xml:space="preserve"> </w:t>
      </w:r>
      <w:r>
        <w:rPr>
          <w:rFonts w:ascii="Nirmala UI" w:hAnsi="Nirmala UI" w:eastAsia="Nirmala UI" w:cs="Nirmala UI"/>
        </w:rPr>
        <w:t>ᱤᱥᱣᱚᱨᱤᱭ</w:t>
      </w:r>
      <w:r>
        <w:rPr>
          <w:rFonts w:ascii="Times New Roman" w:hAnsi="Times New Roman" w:eastAsia="Times New Roman" w:cs="Times New Roman"/>
        </w:rPr>
        <w:t xml:space="preserve"> </w:t>
      </w:r>
      <w:r>
        <w:rPr>
          <w:rFonts w:ascii="Nirmala UI" w:hAnsi="Nirmala UI" w:eastAsia="Nirmala UI" w:cs="Nirmala UI"/>
        </w:rPr>
        <w:t>ᱟᱥᱟᱱᱛᱚᱥ</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ᱟᱬᱟᱜᱮᱱᱟ।</w:t>
      </w:r>
      <w:r>
        <w:rPr>
          <w:rFonts w:ascii="Times New Roman" w:hAnsi="Times New Roman" w:eastAsia="Times New Roman" w:cs="Times New Roman"/>
        </w:rPr>
        <w:t>” Testimonies, volume 5, 211, 212.</w:t>
      </w:r>
    </w:p>
    <w:p>
      <w:pPr>
        <w:pStyle w:val="ArticleBody"/>
        <w:jc w:val="left"/>
      </w:pPr>
      <w:r>
        <w:rPr>
          <w:rFonts w:ascii="Times New Roman" w:hAnsi="Times New Roman" w:eastAsia="Times New Roman" w:cs="Times New Roman"/>
        </w:rPr>
        <w:t>Buku ya Ezekieli yose yashyizwe mu rwego rw’isenywa rya Yerusalemu. Mu buhamya bwa Ezekieli, igotwa rya Nebukadinezari ryamaze umwaka n’igice ryagaragajwe mu buryo bwihariye, ariko “ishyirwa mu bikorwa rirushijeho kuba ry’ako kanya” ry’umuburo wa Yesu muri Matayo makumyabiri na kane riri mu minsi y’imperuka. Muri Ezekieli, uwo murongo w’ukuri uboneka mu gice cya makumyabiri na kane.</w:t>
      </w:r>
    </w:p>
    <w:p>
      <w:pPr>
        <w:pStyle w:val="ArticleHeading"/>
        <w:jc w:val="left"/>
      </w:pPr>
      <w:r>
        <w:rPr>
          <w:rFonts w:ascii="Arial" w:hAnsi="Arial" w:eastAsia="Arial" w:cs="Arial"/>
        </w:rPr>
        <w:t>15 Janwari 588 BC</w:t>
      </w:r>
    </w:p>
    <w:p>
      <w:pPr>
        <w:pStyle w:val="ArticleScripture"/>
        <w:jc w:val="left"/>
      </w:pPr>
      <w:r>
        <w:rPr>
          <w:rFonts w:ascii="Times New Roman" w:hAnsi="Times New Roman" w:eastAsia="Times New Roman" w:cs="Times New Roman"/>
        </w:rPr>
        <w:t>Mong ngwaga wa borataro le bongwe gape, mo kgweding ya bolesome, ka letsatsi la bolesome la kgwedi, lefoko la Morena la tla mo go nna, la re: Morwa motho, ikwaleleng leina la letsatsi, ee, la letsatsi leno ka bolone; kgosi ya Babelona e tlhasetse Jerusalema ka letsatsi leno ka bolone. Esekiele 24:1, 2.</w:t>
      </w:r>
    </w:p>
    <w:p>
      <w:pPr>
        <w:pStyle w:val="ArticleBody"/>
        <w:jc w:val="left"/>
      </w:pPr>
      <w:r>
        <w:rPr>
          <w:rFonts w:ascii="Times New Roman" w:hAnsi="Times New Roman" w:eastAsia="Times New Roman" w:cs="Times New Roman"/>
        </w:rPr>
        <w:t>Omusiku ou, oo nokwa tulwa ko kovanongononi vamwe vomOmbibeli, okupangela kwa longithwa omwedhi omulongo nane kwa hovela. Oshigambo shaJehova she ya kuEzekieli omusiku oo sha li shihanganithwa nomufanekiso woshilando shomagazi, sho sha ningilwa po kembiya yi li momulilo yi lundululwa po komulilo omunene. Omufanekiso ou u li paushili u ukalele epangulo lyaJerusalem, ndele moshitukulwa shimwe sho oshike twa landula po, omwalikadi waEzekieli okwa tulwa mefiyafano molwa oshinyengo shoshikando shimwe, shi li oshiningenwa kutya okupangela oko taku ka nyona oshiiyomwene sha hovela.</w:t>
      </w:r>
    </w:p>
    <w:p>
      <w:pPr>
        <w:pStyle w:val="ArticleScripture"/>
        <w:jc w:val="left"/>
      </w:pPr>
      <w:r>
        <w:rPr>
          <w:rFonts w:ascii="Times New Roman" w:hAnsi="Times New Roman" w:eastAsia="Times New Roman" w:cs="Times New Roman"/>
        </w:rPr>
        <w:t>Lagipun firman Tuhan datang kepadaku, demikian: Hai anak manusia, sesungguhnya Aku mengambil dari padamu kesukaan matamu dengan satu pukulan; namun janganlah engkau meratap ataupun menangis, dan janganlah air matamu bercucuran. Berkeluh-kesahlah dengan diam-diam, janganlah mengadakan perkabungan karena orang mati, ikatlah serbanmu pada kepalamu dan kenakanlah kasutmu pada kakimu, janganlah tutupi bibirmu, dan janganlah makan roti perkabungan dari orang-orang. Maka pada waktu pagi aku berbicara kepada bangsa itu; dan pada waktu petang isteriku mati; lalu pada waktu pagi aku melakukan seperti yang diperintahkan kepadaku. Yehezkiel 24:15–18.</w:t>
      </w:r>
    </w:p>
    <w:p>
      <w:pPr>
        <w:pStyle w:val="ArticleBody"/>
        <w:jc w:val="left"/>
      </w:pPr>
      <w:r>
        <w:rPr>
          <w:rFonts w:ascii="Times New Roman" w:hAnsi="Times New Roman" w:eastAsia="Times New Roman" w:cs="Times New Roman"/>
        </w:rPr>
        <w:t>Bongtelnirang manderangni mikkango Ezekielni toe agananiko aro uni jikgipa sigipani miksongani maia ong∙achim uko sing∙aha.</w:t>
      </w:r>
    </w:p>
    <w:p>
      <w:pPr>
        <w:pStyle w:val="ArticleScripture"/>
        <w:jc w:val="left"/>
      </w:pPr>
      <w:r>
        <w:rPr>
          <w:rFonts w:ascii="Times New Roman" w:hAnsi="Times New Roman" w:eastAsia="Times New Roman" w:cs="Times New Roman"/>
        </w:rPr>
        <w:t>Mongwa ga maIseraele ya mpo: “Bo se bolelele gore dilo tše o di dirago di ra eng go rena?” Ke moka ka ba araba ka re: Lentšu la Morena la tla go nna la re: Bolela le ntlo ya Iseraele o re: Se ke se bolelago ke Morena Modimo: Bonang, ke tla goboša sehalalelo sa ka, botse bja maatla a lena, se mahlo a lena a se kganyogago, le seo meoya ya lena e se kwelago bohloko; gomme barwa ba lena le barwedi ba lena bao le ba tlogetšego ba tla bolawa ka tšhoša. Hesekiele 24:19–21.</w:t>
      </w:r>
    </w:p>
    <w:p>
      <w:pPr>
        <w:pStyle w:val="ArticleBody"/>
        <w:jc w:val="left"/>
      </w:pPr>
      <w:r>
        <w:rPr>
          <w:rFonts w:ascii="Times New Roman" w:hAnsi="Times New Roman" w:eastAsia="Times New Roman" w:cs="Times New Roman"/>
        </w:rPr>
        <w:t>Pamaliah ni Ezekiel eng santuario parehu la ring mitukoy bilang “ing nasa ning mata mu” king pasabing iti. Ating sasabian deng historyador biblikal a ing pangubkub miglala ya king labing walung bulan, samantalang deng pangubkub da Cestius ampong Titus miglala la king apat a banua manibat king banua 66 angga king banua 70. Ing masinsing bilang ning panaun manibat king mumunang pangubkub ni Cestius angga king pagkasira na iti atlung banua at kapatad, dapot nung gamitin ya ing “inclusive reckoning,” a ya ing malaut a gagamitan king Biblia, apat yang banua. Ing pamanalastas a balu la ing aduang pamanuking iti a balid la, pabalung tamu a akit ing atlung banua at kapatad manibat kang Cestius angga kang Titus, at pati na ing apat a banua.</w:t>
      </w:r>
    </w:p>
    <w:p>
      <w:pPr>
        <w:pStyle w:val="ArticleBody"/>
        <w:jc w:val="left"/>
      </w:pPr>
      <w:r>
        <w:rPr>
          <w:rFonts w:ascii="Times New Roman" w:hAnsi="Times New Roman" w:eastAsia="Times New Roman" w:cs="Times New Roman"/>
        </w:rPr>
        <w:t>Kita mempunyai dua saksi tentang undang-undang Ahad dalam dua kebinasaan Yerusalem, dan perincian kedua-dua sejarah itu harus diterapkan kepada undang-undang Ahad yang akan segera datang—di mana Laodikia dimuntahkan keluar dari mulut Tuhan. Permulaan pengepungan Nebukadnezar ditandai oleh kematian isteri Yehezkiel. Pada saat kematiannya, Yehezkiel diperintahkan supaya tidak berkabung secara terbuka, kerana dia adalah tanda bagi orang Yahudi yang dibawa ke dalam pembuangan.</w:t>
      </w:r>
    </w:p>
    <w:p>
      <w:pPr>
        <w:pStyle w:val="ArticleBody"/>
        <w:jc w:val="left"/>
      </w:pPr>
      <w:r>
        <w:rPr>
          <w:rFonts w:ascii="Times New Roman" w:hAnsi="Times New Roman" w:eastAsia="Times New Roman" w:cs="Times New Roman"/>
        </w:rPr>
        <w:t>Permulaan tempoh empat tahun dari 66 hingga 70 ditandai oleh tanda kekejian yang membinasakan, yang merupakan tanda bagi orang-orang Kristian di Yerusalem untuk melarikan diri.</w:t>
      </w:r>
    </w:p>
    <w:p>
      <w:pPr>
        <w:pStyle w:val="ArticleScripture"/>
        <w:jc w:val="left"/>
      </w:pPr>
      <w:r>
        <w:rPr>
          <w:rFonts w:ascii="Times New Roman" w:hAnsi="Times New Roman" w:eastAsia="Times New Roman" w:cs="Times New Roman"/>
        </w:rPr>
        <w:t>Ngenkhe phela nati nibona sinengiso sekubhujiswa, lesakhulunywa ngaso nguDanyela umphrofethi, simi endzaweni lengcwele, (lofundayo, akacondze:) khona-ke labo labaseJudiya ababalekele etintsabeni. Matewu 24:15,16.</w:t>
      </w:r>
    </w:p>
    <w:p>
      <w:pPr>
        <w:pStyle w:val="ArticleBody"/>
        <w:jc w:val="left"/>
      </w:pPr>
      <w:r>
        <w:rPr>
          <w:rFonts w:ascii="Times New Roman" w:hAnsi="Times New Roman" w:eastAsia="Times New Roman" w:cs="Times New Roman"/>
        </w:rPr>
        <w:t>Mantĩmberĩ maingĩ marĩa marĩ na ũhoro ũmwe mũno, na mantĩmberĩ macio maĩrĩ moothe marĩ na “kĩmenyithia” kũu mũtwe wa gũthĩmbwo. Rĩrĩa Ezekieli aarondorire ũhoro wa gũkũa kwa mũtumia wake na gũtirĩ kũmourĩrĩria gwake, aaronjorire, agacoka akĩandĩka:</w:t>
      </w:r>
    </w:p>
    <w:p>
      <w:pPr>
        <w:pStyle w:val="ArticleScripture"/>
        <w:jc w:val="left"/>
      </w:pPr>
      <w:r>
        <w:rPr>
          <w:rFonts w:ascii="Times New Roman" w:hAnsi="Times New Roman" w:eastAsia="Times New Roman" w:cs="Times New Roman"/>
        </w:rPr>
        <w:t>Na mui ruai hi Ezekiel chu a ni ang a che u va: a tih zawng zawng ang chuan nangni pawhin in ti dawn nia; hei hi a lo thleng chuan, kei hi Lalpa Pathian ka ni tih in hre dawn nia. Ezekiel 24:24.</w:t>
      </w:r>
    </w:p>
    <w:p>
      <w:pPr>
        <w:pStyle w:val="ArticleBody"/>
        <w:jc w:val="left"/>
      </w:pPr>
      <w:r>
        <w:rPr>
          <w:rFonts w:ascii="Times New Roman" w:hAnsi="Times New Roman" w:eastAsia="Times New Roman" w:cs="Times New Roman"/>
        </w:rPr>
        <w:t>Tanda kematian isteri Yehezkiel merupakan suatu pengenalpastian akan kehancuran Yerusalem dan Bait Suci yang bakal segera datang serta pembuangan ke Babel yang menyusul sesudahnya. Tanda pembinasa keji, yang telah difirmankan oleh Daniel, merupakan suatu peringatan supaya melarikan diri daripada kebinasaan itu, namun kedua-dua pengepungan itu mempunyai suatu tanda pada permulaannya.</w:t>
      </w:r>
    </w:p>
    <w:p>
      <w:pPr>
        <w:pStyle w:val="ArticleBody"/>
        <w:jc w:val="left"/>
      </w:pPr>
      <w:r>
        <w:rPr>
          <w:rFonts w:ascii="Times New Roman" w:hAnsi="Times New Roman" w:eastAsia="Times New Roman" w:cs="Times New Roman"/>
        </w:rPr>
        <w:t>Ṣaṭi panobik sromal profetik miah nɛh mɔh bɔn kyanh Sunday law dɔk, nɛh kɛsɔh miak Ezekiel mɨŋg cɔŋg dɔh tɛh tanda dak biih, nɛh gɨrɛja Seventh-day Adventist Laodikea ah nyamg dɔh lalap tɔm mɔh pʉt pʉt, sedangkan; Ezekiel dak tanda bagi seratus empat puluh empat ribu, nɛh dak tanda panji yait mɔh taangkat pɔh awal sromal itu. Ezekiel dak panji seratus empat puluh empat ribu pɔh awal sromal Babel, nɛh tanda kekejian pembinasa pɔh awal itu dak “tanda” Roma. Satu tanda bicarɛh tentang amaran internal, nɛh tanda lain tentang amaran eksternal. Memang ada amaran bagi orang-orang Kristian pɔh taun 66, tetapi tanda amaran itu ialah Roma. Tanda dalam kebinasaan Yerusalem oleh Babel ialah istri Ezekiel. Roma ialah golongan yang menerima tanda binatang itu, dan Ezekiel tanda bagi mereka yang menerima meterai Allah.</w:t>
      </w:r>
    </w:p>
    <w:p>
      <w:pPr>
        <w:pStyle w:val="ArticleHeading"/>
        <w:jc w:val="left"/>
      </w:pPr>
      <w:r>
        <w:rPr>
          <w:rFonts w:ascii="Arial" w:hAnsi="Arial" w:eastAsia="Arial" w:cs="Arial"/>
        </w:rPr>
        <w:t>Nako tse Pedi tša Mafelo</w:t>
      </w:r>
    </w:p>
    <w:p>
      <w:pPr>
        <w:pStyle w:val="ArticleBody"/>
        <w:jc w:val="left"/>
      </w:pPr>
      <w:r>
        <w:rPr>
          <w:rFonts w:ascii="Times New Roman" w:hAnsi="Times New Roman" w:eastAsia="Times New Roman" w:cs="Times New Roman"/>
        </w:rPr>
        <w:t>Pengepungan pertama berlangsung selama delapan belas bulan dan pengepungan kedua berlangsung selama empat tahun. Kedua-dua pengepungan itu memperoleh penggenapan yang “lebih langsung” pada akhir zaman, dan kedua-dua pengepungan itu berhubung secara langsung dengan nubuatan tiga ratus sembilan puluh satu tahun dan lima belas hari yang terdapat dalam Wahyu pasal sembilan ayat lima belas.</w:t>
      </w:r>
    </w:p>
    <w:p>
      <w:pPr>
        <w:pStyle w:val="ArticleBody"/>
        <w:jc w:val="left"/>
      </w:pPr>
      <w:r>
        <w:rPr>
          <w:rFonts w:ascii="Times New Roman" w:hAnsi="Times New Roman" w:eastAsia="Times New Roman" w:cs="Times New Roman"/>
        </w:rPr>
        <w:t>Pamulaan han lima ka bulan han Pahayag 9:10 naglakip hin usa ka kasaysayan nga nagtimaan hin katloan kag walo ka tuig nga panahon nga natapos ha usa ka upat ka tuig nga paglikos, nga may kalabotan ha numero nga katloan kag walo, ngan nagpakilala han pagtindog han Islam. Ini nga upat ka tuig nga paglikos nakakaangay han kaangayan hini dida han kasaysayan nga nagtikang han natapos an (lima ka bulan) usa ka gatos ngan kalim-an ka tuig ngan nagtitikang an tulo ka gatos siyamnapu’t usa ka tuig ngan napulo kag lima ka adlaw. Nagtikang ini han Hulyo 27, 1449, ngan upat ka tuig an naglabay, an Islam nagdala hin paglikos nga kalim-an kag lima ka adlaw kontra ha Constantinople nga natapos han 29 Mayo 1453.</w:t>
      </w:r>
    </w:p>
    <w:p>
      <w:pPr>
        <w:pStyle w:val="ArticleBody"/>
        <w:jc w:val="left"/>
      </w:pPr>
      <w:r>
        <w:rPr>
          <w:rFonts w:ascii="Times New Roman" w:hAnsi="Times New Roman" w:eastAsia="Times New Roman" w:cs="Times New Roman"/>
        </w:rPr>
        <w:t>Bila nubuatan waktu yang bermula pada 27 Julai 1449 berakhir pada 11 Ogos 1844, empat tahun pergerakan malaikat pertama dan kedua dari 1840 hingga 1844 selaras dengan kepungan selama empat tahun dari 1333 hingga 1337, dan juga tempoh empat tahun dari 1449 hingga 1453. Ketiga-tiga saksi itu, yang semuanya secara langsung merupakan sebahagian daripada garis nubuatan yang sama, melambangkan suatu tempoh simbolik selama empat tahun apabila pergerakan malaikat pertama dan kedua dari 1840 hingga 1844 diulangi dalam sejarah pergerakan malaikat ketiga. Ketiga-tiga saksi itu menandakan suatu kepungan selama empat tahun dalam sejarah seratus empat puluh empat ribu. Tempoh empat tahun itu juga digambarkan oleh kepungan-kepungan Yerusalem pada tahun 66 dan 70.</w:t>
      </w:r>
    </w:p>
    <w:p>
      <w:pPr>
        <w:pStyle w:val="ArticleBody"/>
        <w:jc w:val="left"/>
      </w:pPr>
      <w:r>
        <w:rPr>
          <w:rFonts w:ascii="Times New Roman" w:hAnsi="Times New Roman" w:eastAsia="Times New Roman" w:cs="Times New Roman"/>
        </w:rPr>
        <w:t>Mathomo a thibelelo ya mengwaga e mene ka Cestius ka 66, gomme ka morago mafelelo a yona ka Titus ka 70, a tšweletša leswao la alpha le leswao la omega go lebaka la mengwaga e mene. Lebaka leo leo gape le emelwa ke mengwaga ye meraro le seripa, yeo le yona e sepelelanago le mengwaga ye meraro le seripa ya boporofeta yeo Roma ya bopapa e gatakilego ka yona sehalalelo.</w:t>
      </w:r>
    </w:p>
    <w:p>
      <w:pPr>
        <w:pStyle w:val="ArticleScripture"/>
        <w:jc w:val="left"/>
      </w:pPr>
      <w:r>
        <w:rPr>
          <w:rFonts w:ascii="Times New Roman" w:hAnsi="Times New Roman" w:eastAsia="Times New Roman" w:cs="Times New Roman"/>
        </w:rPr>
        <w:t>Tetapi pelataran yang di luar Bait Suci itu, biarkanlah, dan janganlah engkau mengukurnya; karena itu telah diberikan kepada bangsa-bangsa bukan Yahudi; dan kota suci itu akan mereka injak-injak selama empat puluh dua bulan. Dan Aku akan memberikan kuasa kepada kedua saksi-Ku, dan mereka akan bernubuat seribu dua ratus enam puluh hari lamanya, berpakaian kain kabung. Wahyu 11:2, 3.</w:t>
      </w:r>
    </w:p>
    <w:p>
      <w:pPr>
        <w:pStyle w:val="ArticleScripture"/>
        <w:jc w:val="left"/>
      </w:pPr>
      <w:r>
        <w:rPr>
          <w:rFonts w:ascii="Times New Roman" w:hAnsi="Times New Roman" w:eastAsia="Times New Roman" w:cs="Times New Roman"/>
        </w:rPr>
        <w:t>Mereka akan tewas oleh mata pedang dan akan dibawa sebagai tawanan ke segala bangsa; dan Yerusalem akan diinjak-injak oleh bangsa-bangsa lain, sampai genaplah zaman bangsa-bangsa lain itu. Lukas 21:24.</w:t>
      </w:r>
    </w:p>
    <w:p>
      <w:pPr>
        <w:pStyle w:val="ArticleBody"/>
        <w:jc w:val="left"/>
      </w:pPr>
      <w:r>
        <w:rPr>
          <w:rFonts w:ascii="Times New Roman" w:hAnsi="Times New Roman" w:eastAsia="Times New Roman" w:cs="Times New Roman"/>
        </w:rPr>
        <w:t>Ndzi bohlokwa swinene ku xiya leswaku ndzi tirhisa ku hlayela ka “ku katsa” na ka “ku hambanisa” eka nkarhi lowu yimeleriwaka hi xikombiso xa alifa xa Cestius ku ya eka xikombiso xa omega xa Titus. Leswi swi kombisa leswaku ku yimeleriwe ku tirhisiwa ka nkarhi hi tindlela timbirhi eka matimu yin’we. Se hi ku langutile eka nsinya lowu wa le Bibeleni loko hi kambisisa (eka swihloko swo tala leswi hundzeke), nkarhi exikarhi ka ku endzela ka Yesu eKesariya-Filipi (Panium) na riendzo ra Yena ro ya eNtshaveni wa Ku Hundzuka ka Xivumbeko. Vatsari vambirhi va Bibele va tsala masiku ya tsevu, kasi un’we u tsala masiku ya nhungu.</w:t>
      </w:r>
    </w:p>
    <w:p>
      <w:pPr>
        <w:pStyle w:val="ArticleScripture"/>
        <w:jc w:val="left"/>
      </w:pPr>
      <w:r>
        <w:rPr>
          <w:rFonts w:ascii="Times New Roman" w:hAnsi="Times New Roman" w:eastAsia="Times New Roman" w:cs="Times New Roman"/>
        </w:rPr>
        <w:t>Selepas enam hari, Yesus membawa Petrus, Yakobus, dan Yohanes, saudaranya, lalu membawa mereka naik ke sebuah gunung yang tinggi, terpisah daripada orang lain. Matius 17:1.</w:t>
      </w:r>
    </w:p>
    <w:p>
      <w:pPr>
        <w:pStyle w:val="ArticleScripture"/>
        <w:jc w:val="left"/>
      </w:pPr>
      <w:r>
        <w:rPr>
          <w:rFonts w:ascii="Times New Roman" w:hAnsi="Times New Roman" w:eastAsia="Times New Roman" w:cs="Times New Roman"/>
        </w:rPr>
        <w:t>Undur sex dagar tók Jesus Pætur, Jakup og Jóhannes við sær, og førdi teir einsamallar niðan á eitt høgt fjall; og hann varð ummyndaður fyri eygum teirra. Markus 9:2.</w:t>
      </w:r>
    </w:p>
    <w:p>
      <w:pPr>
        <w:pStyle w:val="ArticleScripture"/>
        <w:jc w:val="left"/>
      </w:pPr>
      <w:r>
        <w:rPr>
          <w:rFonts w:ascii="Nirmala UI" w:hAnsi="Nirmala UI" w:eastAsia="Nirmala UI" w:cs="Nirmala UI"/>
        </w:rPr>
        <w:t>अनि</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भनाइहरूका</w:t>
      </w:r>
      <w:r>
        <w:rPr>
          <w:rFonts w:ascii="Times New Roman" w:hAnsi="Times New Roman" w:eastAsia="Times New Roman" w:cs="Times New Roman"/>
        </w:rPr>
        <w:t xml:space="preserve"> </w:t>
      </w:r>
      <w:r>
        <w:rPr>
          <w:rFonts w:ascii="Nirmala UI" w:hAnsi="Nirmala UI" w:eastAsia="Nirmala UI" w:cs="Nirmala UI"/>
        </w:rPr>
        <w:t>लगभग</w:t>
      </w:r>
      <w:r>
        <w:rPr>
          <w:rFonts w:ascii="Times New Roman" w:hAnsi="Times New Roman" w:eastAsia="Times New Roman" w:cs="Times New Roman"/>
        </w:rPr>
        <w:t xml:space="preserve"> </w:t>
      </w:r>
      <w:r>
        <w:rPr>
          <w:rFonts w:ascii="Nirmala UI" w:hAnsi="Nirmala UI" w:eastAsia="Nirmala UI" w:cs="Nirmala UI"/>
        </w:rPr>
        <w:t>आठ</w:t>
      </w:r>
      <w:r>
        <w:rPr>
          <w:rFonts w:ascii="Times New Roman" w:hAnsi="Times New Roman" w:eastAsia="Times New Roman" w:cs="Times New Roman"/>
        </w:rPr>
        <w:t xml:space="preserve"> </w:t>
      </w:r>
      <w:r>
        <w:rPr>
          <w:rFonts w:ascii="Nirmala UI" w:hAnsi="Nirmala UI" w:eastAsia="Nirmala UI" w:cs="Nirmala UI"/>
        </w:rPr>
        <w:t>दिनपछि</w:t>
      </w:r>
      <w:r>
        <w:rPr>
          <w:rFonts w:ascii="Times New Roman" w:hAnsi="Times New Roman" w:eastAsia="Times New Roman" w:cs="Times New Roman"/>
        </w:rPr>
        <w:t xml:space="preserve">, </w:t>
      </w:r>
      <w:r>
        <w:rPr>
          <w:rFonts w:ascii="Nirmala UI" w:hAnsi="Nirmala UI" w:eastAsia="Nirmala UI" w:cs="Nirmala UI"/>
        </w:rPr>
        <w:t>उहाँले</w:t>
      </w:r>
      <w:r>
        <w:rPr>
          <w:rFonts w:ascii="Times New Roman" w:hAnsi="Times New Roman" w:eastAsia="Times New Roman" w:cs="Times New Roman"/>
        </w:rPr>
        <w:t xml:space="preserve"> </w:t>
      </w:r>
      <w:r>
        <w:rPr>
          <w:rFonts w:ascii="Nirmala UI" w:hAnsi="Nirmala UI" w:eastAsia="Nirmala UI" w:cs="Nirmala UI"/>
        </w:rPr>
        <w:t>पत्रुस</w:t>
      </w:r>
      <w:r>
        <w:rPr>
          <w:rFonts w:ascii="Times New Roman" w:hAnsi="Times New Roman" w:eastAsia="Times New Roman" w:cs="Times New Roman"/>
        </w:rPr>
        <w:t xml:space="preserve">, </w:t>
      </w:r>
      <w:r>
        <w:rPr>
          <w:rFonts w:ascii="Nirmala UI" w:hAnsi="Nirmala UI" w:eastAsia="Nirmala UI" w:cs="Nirmala UI"/>
        </w:rPr>
        <w:t>यूहन्ना</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याकूबलाई</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लिनुभयो</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प्रार्थना</w:t>
      </w:r>
      <w:r>
        <w:rPr>
          <w:rFonts w:ascii="Times New Roman" w:hAnsi="Times New Roman" w:eastAsia="Times New Roman" w:cs="Times New Roman"/>
        </w:rPr>
        <w:t xml:space="preserve"> </w:t>
      </w:r>
      <w:r>
        <w:rPr>
          <w:rFonts w:ascii="Nirmala UI" w:hAnsi="Nirmala UI" w:eastAsia="Nirmala UI" w:cs="Nirmala UI"/>
        </w:rPr>
        <w:t>गर्न</w:t>
      </w:r>
      <w:r>
        <w:rPr>
          <w:rFonts w:ascii="Times New Roman" w:hAnsi="Times New Roman" w:eastAsia="Times New Roman" w:cs="Times New Roman"/>
        </w:rPr>
        <w:t xml:space="preserve"> </w:t>
      </w:r>
      <w:r>
        <w:rPr>
          <w:rFonts w:ascii="Nirmala UI" w:hAnsi="Nirmala UI" w:eastAsia="Nirmala UI" w:cs="Nirmala UI"/>
        </w:rPr>
        <w:t>पहाडमा</w:t>
      </w:r>
      <w:r>
        <w:rPr>
          <w:rFonts w:ascii="Times New Roman" w:hAnsi="Times New Roman" w:eastAsia="Times New Roman" w:cs="Times New Roman"/>
        </w:rPr>
        <w:t xml:space="preserve"> </w:t>
      </w:r>
      <w:r>
        <w:rPr>
          <w:rFonts w:ascii="Nirmala UI" w:hAnsi="Nirmala UI" w:eastAsia="Nirmala UI" w:cs="Nirmala UI"/>
        </w:rPr>
        <w:t>जानुभयो।</w:t>
      </w:r>
      <w:r>
        <w:rPr>
          <w:rFonts w:ascii="Times New Roman" w:hAnsi="Times New Roman" w:eastAsia="Times New Roman" w:cs="Times New Roman"/>
        </w:rPr>
        <w:t xml:space="preserve"> </w:t>
      </w:r>
      <w:r>
        <w:rPr>
          <w:rFonts w:ascii="Nirmala UI" w:hAnsi="Nirmala UI" w:eastAsia="Nirmala UI" w:cs="Nirmala UI"/>
        </w:rPr>
        <w:t>लूका</w:t>
      </w:r>
      <w:r>
        <w:rPr>
          <w:rFonts w:ascii="Times New Roman" w:hAnsi="Times New Roman" w:eastAsia="Times New Roman" w:cs="Times New Roman"/>
        </w:rPr>
        <w:t xml:space="preserve"> 9:28</w:t>
      </w:r>
      <w:r>
        <w:rPr>
          <w:rFonts w:ascii="Nirmala UI" w:hAnsi="Nirmala UI" w:eastAsia="Nirmala UI" w:cs="Nirmala UI"/>
        </w:rPr>
        <w:t>।</w:t>
      </w:r>
    </w:p>
    <w:p>
      <w:pPr>
        <w:pStyle w:val="ArticleBody"/>
        <w:jc w:val="left"/>
      </w:pPr>
      <w:r>
        <w:rPr>
          <w:rFonts w:ascii="Times New Roman" w:hAnsi="Times New Roman" w:eastAsia="Times New Roman" w:cs="Times New Roman"/>
        </w:rPr>
        <w:t>Mabebejweŋ en Jerusalem ej juon “application eo elab an direct” ñan raan ko ilo jemlokin, im jorrāān in ej ruo kain lale ro rej bōk kōn Babylon im Rome. Ruo kain lale kein rej mālim in etal ibben doon, ak rej lelok nan jikin-jot nāan in kejbarok eo ekkar im aorōk bwe ren kōkāāl kapeel in. Kij in kōn Rome (66 ñan 70) ear eman yiō ko enāān, im men in bar kanne bwe ej bōk jikin ñan yiō ko ettolu im juon bōtaab. Yiō ko ettolu im juon bōtaab rej jonan ippān an wor an kabebak Sanctuary eo im host eo, men eo pāganism im papalism jimor rej kōmman. An kabebak eo kōn papalism ear ñan yiō ko ettolu im juon bōtaab ilo kāttin, einwōt an kar lewaj an waanjoñak ilo yiō ko ettolu im juon bōtaab ilo jejjet kij eo kōn Rome.</w:t>
      </w:r>
    </w:p>
    <w:p>
      <w:pPr>
        <w:pStyle w:val="ArticleBody"/>
        <w:jc w:val="left"/>
      </w:pPr>
      <w:r>
        <w:rPr>
          <w:rFonts w:ascii="Times New Roman" w:hAnsi="Times New Roman" w:eastAsia="Times New Roman" w:cs="Times New Roman"/>
        </w:rPr>
        <w:t>Siege ya malembe ma mune yoleyo ehlanganisiwa na minkarhi ya malembe ma mune leyi fambelanaka na nxaxamelo wa vuprofeta lowu kombisa ku tlakusiwa ka Vuislamu, kutani endzhaku ku tlakusiwa ka nyakazo wa yintsumi yo sungula ni ya vumbirhi, kutani ya vunharhu. Cestius ku ya eka Titus swi hlangana na giringiri ra Rhoma ra vupapa naswona swi tlhela swi hlangana na giringiri ra Vuislamu. Giringiri ra Rhoma ni malembe manharhu ni hafu ya Cestius na Titus swi hlangana na malembe manharhu ni hafu ya xikombiso ya Rhoma ra vupapa, hi ndlela yoleyo swi kombisa swiyimo swimbirhi swa Rhoma ra vuhedeni ni ra vupapa. Giringiri ra Vuislamu ri hlanganisiwa hi matimu wolawo ma fanaka loko ma twisisiwa tanihi malembe ma mune, kambe hilaha swi nga hakona hi giringiri ra Rhoma ematimwini wolawo, Vuislamu byi fambelanisiwa na matimba ya vumbirhi lama nga ehansi ka giringiri ra Vuislamu—ku nga Vuvadventista. Nkarhi wa malembe manharhu ni hafu wu yimela Rhoma eka swiyimo swa rona hinkwaswo swimbirhi, naswona nkarhi wa malembe ma mune wu yimela Vuislamu ni Vuvadventista. Rhoma ra vuhedeni ni ra vupapa a swi koti ku hambanisiwa hi vuprofeta, naswona na byona Vuislamu ni Vuvadventista a swi koti ku hambanisiwa.</w:t>
      </w:r>
    </w:p>
    <w:p>
      <w:pPr>
        <w:pStyle w:val="ArticleBody"/>
        <w:jc w:val="left"/>
      </w:pPr>
      <w:r>
        <w:rPr>
          <w:rFonts w:ascii="Times New Roman" w:hAnsi="Times New Roman" w:eastAsia="Times New Roman" w:cs="Times New Roman"/>
        </w:rPr>
        <w:t>Ini secara kenabian menuntut bahwa ketika kita mempertimbangkan pengepungan Babel, dua pemahaman tentang waktu harus terlihat dalam ilustrasi pengepungan selama delapan belas bulan itu. Dua representasi waktu dalam pengepungan yang dibawa oleh Roma, secara kenabian menuntut dua representasi waktu dalam pengepungan yang dibawa oleh Nebukadnezar. Pengepungan Nebukadnezar selama delapan belas bulan juga dapat dipahami sebagai lambang satu setengah tahun. Delapan belas bulan adalah satu setengah tahun, dan satu setengah dapat dinyatakan sebagai 1,5 tahun. Pengepungan Nebukadnezar itu adalah sekaligus delapan belas bulan dan satu koma lima (1,5) tahun.</w:t>
      </w:r>
    </w:p>
    <w:p>
      <w:pPr>
        <w:pStyle w:val="ArticleBody"/>
        <w:jc w:val="left"/>
      </w:pPr>
      <w:r>
        <w:rPr>
          <w:rFonts w:ascii="Times New Roman" w:hAnsi="Times New Roman" w:eastAsia="Times New Roman" w:cs="Times New Roman"/>
        </w:rPr>
        <w:t>Les dix-huit mois désignent la puissance qui devait fouler aux pieds Jérusalem, et les 1,5 années désignent l’islam. La roue prophétique de calcul qui identifie dix-huit mois identifie Babylone, et l’autre roue prophétique de calcul identifie l’islam. Nous n’avons pas encore présenté l’explication de la manière dont nous parvenons à l’application des 1,5 années en relation avec l’islam, mais il convient de noter que les deux calculs de temps dans la destruction opérée par Rome sont liés à la roue prophétique de Rome (païenne comme papale), et que l’autre calcul est lié à la roue prophétique de l’islam. Ces caractéristiques se retrouvent dans les destructions alpha et oméga de Jérusalem.</w:t>
      </w:r>
    </w:p>
    <w:p>
      <w:pPr>
        <w:pStyle w:val="ArticleBody"/>
        <w:jc w:val="left"/>
      </w:pPr>
      <w:r>
        <w:rPr>
          <w:rFonts w:ascii="Times New Roman" w:hAnsi="Times New Roman" w:eastAsia="Times New Roman" w:cs="Times New Roman"/>
        </w:rPr>
        <w:t>Pengepungan Yerusalem selama empat tahun oleh Cestius dan Titus melambangkan berakhirnya suatu garis nubuatan yang dimulai dengan suatu masa tiga puluh delapan tahun, yang diakhiri dengan pengepungan empat tahun yang melambangkan pengangkatan Islam; dan masa empat tahun yang terakhir dalam garis yang sama itu melambangkan pengangkatan panji dari seratus empat puluh empat ribu.</w:t>
      </w:r>
    </w:p>
    <w:p>
      <w:pPr>
        <w:pStyle w:val="ArticleBody"/>
        <w:jc w:val="left"/>
      </w:pPr>
      <w:r>
        <w:rPr>
          <w:rFonts w:ascii="Times New Roman" w:hAnsi="Times New Roman" w:eastAsia="Times New Roman" w:cs="Times New Roman"/>
        </w:rPr>
        <w:t>Kita akan melanjutkan perkara-perkara ini dalam artikel yang berikutnya.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ប្រវត្តិសាស្ត្រលាក់កំបាំងនៃខទីសែសិប — លេខម្ភៃបួន</dc:title>
  <dc:subject>Езекил Број Пет</dc:subject>
  <dc:creator>Jeff Pippenger</dc:creator>
  <cp:keywords/>
  <dc:description>Generated by ArticleDigger from hidden_history\24_hidden_history.json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