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Leloko le le Fitlhegileng la Temana ya Masome a Manè—Palo ya Masome a Mabedi le Botlhano</w:t>
      </w:r>
    </w:p>
    <w:p>
      <w:pPr>
        <w:pStyle w:val="ArticleSubtitle"/>
        <w:jc w:val="left"/>
      </w:pPr>
      <w:r>
        <w:rPr>
          <w:rFonts w:ascii="Arial" w:hAnsi="Arial" w:eastAsia="Arial" w:cs="Arial"/>
        </w:rPr>
        <w:t>Hezekiel Nomoro 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Ndzi vile ndzi tshame ndzi xopaxopa eka ndzimana ya Timbhoni leyi nyikaka milawu yo hambana-hambana ya ntiyiso hi ku fambisana ni ntokoto wa Ezekiele, Esaya na Yohane endzeni ka vukwetsimelo. Yohane u hundzulukile ku ya vona rito leri a ri ri endzhaku ka yena eka Nhlavutelo ndzima ya vu-1.</w:t>
      </w:r>
    </w:p>
    <w:p>
      <w:pPr>
        <w:pStyle w:val="ArticleScripture"/>
        <w:jc w:val="left"/>
      </w:pPr>
      <w:r>
        <w:rPr>
          <w:rFonts w:ascii="Times New Roman" w:hAnsi="Times New Roman" w:eastAsia="Times New Roman" w:cs="Times New Roman"/>
        </w:rPr>
        <w:t>Aku berada dalam Roh pada hari Tuhan, dan aku mendengar di belakangku satu suara yang nyaring, seperti bunyi nafiri, yang berkata, Akulah Alfa dan Omega, yang pertama dan yang terakhir; dan, Apa yang engkau lihat, tuliskanlah dalam sebuah kitab, dan kirimkanlah itu kepada ketujuh jemaat yang ada di Asia; kepada Efesus, dan kepada Smirna, dan kepada Pergamus, dan kepada Tiatira, dan kepada Sardis, dan kepada Filadelfia, dan kepada Laodikia. Lalu aku berpaling untuk melihat suara yang berbicara dengan aku. Dan setelah aku berpaling, aku melihat tujuh kaki pelita emas. Wahyu 1:10–12.</w:t>
      </w:r>
    </w:p>
    <w:p>
      <w:pPr>
        <w:pStyle w:val="ArticleBody"/>
        <w:jc w:val="left"/>
      </w:pPr>
      <w:r>
        <w:rPr>
          <w:rFonts w:ascii="Nirmala UI" w:hAnsi="Nirmala UI" w:eastAsia="Nirmala UI" w:cs="Nirmala UI"/>
        </w:rPr>
        <w:t>ꯄꯥꯠꯃꯣꯁꯀꯤ</w:t>
      </w:r>
      <w:r>
        <w:rPr>
          <w:rFonts w:ascii="Times New Roman" w:hAnsi="Times New Roman" w:eastAsia="Times New Roman" w:cs="Times New Roman"/>
        </w:rPr>
        <w:t xml:space="preserve"> </w:t>
      </w:r>
      <w:r>
        <w:rPr>
          <w:rFonts w:ascii="Nirmala UI" w:hAnsi="Nirmala UI" w:eastAsia="Nirmala UI" w:cs="Nirmala UI"/>
        </w:rPr>
        <w:t>ꯂꯩꯁꯤꯂꯗꯒꯤ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ꯁ꯭ꯚꯔꯒꯤ</w:t>
      </w:r>
      <w:r>
        <w:rPr>
          <w:rFonts w:ascii="Times New Roman" w:hAnsi="Times New Roman" w:eastAsia="Times New Roman" w:cs="Times New Roman"/>
        </w:rPr>
        <w:t xml:space="preserve"> </w:t>
      </w:r>
      <w:r>
        <w:rPr>
          <w:rFonts w:ascii="Nirmala UI" w:hAnsi="Nirmala UI" w:eastAsia="Nirmala UI" w:cs="Nirmala UI"/>
        </w:rPr>
        <w:t>ꯃꯥꯄꯥꯟꯒꯤ</w:t>
      </w:r>
      <w:r>
        <w:rPr>
          <w:rFonts w:ascii="Times New Roman" w:hAnsi="Times New Roman" w:eastAsia="Times New Roman" w:cs="Times New Roman"/>
        </w:rPr>
        <w:t xml:space="preserve"> </w:t>
      </w:r>
      <w:r>
        <w:rPr>
          <w:rFonts w:ascii="Nirmala UI" w:hAnsi="Nirmala UI" w:eastAsia="Nirmala UI" w:cs="Nirmala UI"/>
        </w:rPr>
        <w:t>ꯁꯪꯂꯣꯟꯗ</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ꯀ꯭ꯔꯥꯏꯁꯇꯀꯤ</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ꯍ꯭ꯋꯥꯏꯠꯅꯥ</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ꯗꯥꯅꯤꯑꯦꯜꯅꯥ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ꯃꯥꯔꯤꯂ</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ꯁꯨꯕꯗ</w:t>
      </w:r>
      <w:r>
        <w:rPr>
          <w:rFonts w:ascii="Times New Roman" w:hAnsi="Times New Roman" w:eastAsia="Times New Roman" w:cs="Times New Roman"/>
        </w:rPr>
        <w:t xml:space="preserve"> </w:t>
      </w:r>
      <w:r>
        <w:rPr>
          <w:rFonts w:ascii="Nirmala UI" w:hAnsi="Nirmala UI" w:eastAsia="Nirmala UI" w:cs="Nirmala UI"/>
        </w:rPr>
        <w:t>ꯎꯠꯈꯤꯕ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ꯑꯣꯏꯔꯦ꯫</w:t>
      </w:r>
    </w:p>
    <w:p>
      <w:pPr>
        <w:pStyle w:val="ArticleScripture"/>
        <w:jc w:val="left"/>
      </w:pPr>
      <w:r>
        <w:rPr>
          <w:rFonts w:ascii="Times New Roman" w:hAnsi="Times New Roman" w:eastAsia="Times New Roman" w:cs="Times New Roman"/>
        </w:rPr>
        <w:t>“‘Ngemihla leyo mina Daniyeli ngangilila amaviki amathathu aphelele. Angidlanga sinkwa esimnandi, inyama newayini akufikanga emlonyeni wami, futhi angizigcobanga nhlobo.... Ngase ngiphakamisa amehlo ami, ngabuka, bheka, kwakukhona umuntu othile embethe ilineni, izinkalo zakhe ziboshwe ngegolide elicolekileyo lase-Ufaz. Nomzimba wakhe wawunjengeberili, nobuso bakhe bunjengokubonakala kombani, namehlo akhe enjengezibani zomlilo, nezingalo nezinyawo zakhe zifana ngethusi elicwengiwe, nezwi lamazwi akhe lalinjengezwi lesixuku’ (Daniyeli 10:2–6).”</w:t>
      </w:r>
    </w:p>
    <w:p>
      <w:pPr>
        <w:pStyle w:val="ArticleScripture"/>
        <w:jc w:val="left"/>
      </w:pPr>
      <w:r>
        <w:rPr>
          <w:rFonts w:ascii="Times New Roman" w:hAnsi="Times New Roman" w:eastAsia="Times New Roman" w:cs="Times New Roman"/>
        </w:rPr>
        <w:t>“Gambaran ini sama dengan yang diberikan oleh Yohanes ketika Kristus dinyatakan kepadanya di Pulau Patmos. Tidak lain daripada Anak Allah sendiri telah menampakkan diri kepada Daniel. Tuhan kita datang bersama seorang utusan surgawi yang lain untuk mengajarkan kepada Daniel apa yang akan terjadi pada hari-hari terakhir.” Sanctified Life, 49.</w:t>
      </w:r>
    </w:p>
    <w:p>
      <w:pPr>
        <w:pStyle w:val="ArticleBody"/>
        <w:jc w:val="left"/>
      </w:pPr>
      <w:r>
        <w:rPr>
          <w:rFonts w:ascii="Times New Roman" w:hAnsi="Times New Roman" w:eastAsia="Times New Roman" w:cs="Times New Roman"/>
        </w:rPr>
        <w:t>Ayat sembilan yang pertama menunjukkan bagaimana Wahyu Yesus Kristus dibukakan tepat sebelum berakhirnya masa percobaan manusia. Wahyu itu diberikan oleh Allah kepada Yesus, yang memberikannya kepada Gabriel, yang memberikannya kepada Yohanes dengan suatu penugasan agar Yohanes mengirimkan pekabaran itu kepada ketujuh jemaat. Yesaya menerima penugasannya untuk melakukan hal yang sama dalam pasal enam, dan Yehezkiel menerima mandat yang sama dalam pasal dua dan tiga. Yohanes adalah seorang tahanan ketika ia menerima penugasannya, Yehezkiel dan Daniel adalah tawanan di Babel, dan Yesaya hidup dalam sejarah raja Yehuda yang fasik, yaitu Ahas.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๎มีล้อซ้อนอยู่ภายในล้อทั้งหลาย</w:t>
      </w:r>
      <w:r>
        <w:rPr>
          <w:rFonts w:ascii="Times New Roman" w:hAnsi="Times New Roman" w:eastAsia="Times New Roman" w:cs="Times New Roman"/>
        </w:rPr>
        <w:t xml:space="preserve"> </w:t>
      </w:r>
      <w:r>
        <w:rPr>
          <w:rFonts w:ascii="Leelawadee UI" w:hAnsi="Leelawadee UI" w:eastAsia="Leelawadee UI" w:cs="Leelawadee UI"/>
        </w:rPr>
        <w:t>ในการจัดวางอันซับซ้อนยิ่ง</w:t>
      </w:r>
      <w:r>
        <w:rPr>
          <w:rFonts w:ascii="Times New Roman" w:hAnsi="Times New Roman" w:eastAsia="Times New Roman" w:cs="Times New Roman"/>
        </w:rPr>
        <w:t xml:space="preserve"> </w:t>
      </w:r>
      <w:r>
        <w:rPr>
          <w:rFonts w:ascii="Leelawadee UI" w:hAnsi="Leelawadee UI" w:eastAsia="Leelawadee UI" w:cs="Leelawadee UI"/>
        </w:rPr>
        <w:t>จนเมื่อแรกเห็น</w:t>
      </w:r>
      <w:r>
        <w:rPr>
          <w:rFonts w:ascii="Times New Roman" w:hAnsi="Times New Roman" w:eastAsia="Times New Roman" w:cs="Times New Roman"/>
        </w:rPr>
        <w:t xml:space="preserve"> </w:t>
      </w:r>
      <w:r>
        <w:rPr>
          <w:rFonts w:ascii="Leelawadee UI" w:hAnsi="Leelawadee UI" w:eastAsia="Leelawadee UI" w:cs="Leelawadee UI"/>
        </w:rPr>
        <w:t>เอเสเคียลเห็นประหนึ่งว่าทุกสิ่งกำลังสับสนอลหม่าน</w:t>
      </w:r>
      <w:r>
        <w:rPr>
          <w:rFonts w:ascii="Times New Roman" w:hAnsi="Times New Roman" w:eastAsia="Times New Roman" w:cs="Times New Roman"/>
        </w:rPr>
        <w:t xml:space="preserve"> </w:t>
      </w:r>
      <w:r>
        <w:rPr>
          <w:rFonts w:ascii="Leelawadee UI" w:hAnsi="Leelawadee UI" w:eastAsia="Leelawadee UI" w:cs="Leelawadee UI"/>
        </w:rPr>
        <w:t>แต่เมื่อสิ่งเหล่านั้นเคลื่อนไป</w:t>
      </w:r>
      <w:r>
        <w:rPr>
          <w:rFonts w:ascii="Times New Roman" w:hAnsi="Times New Roman" w:eastAsia="Times New Roman" w:cs="Times New Roman"/>
        </w:rPr>
        <w:t xml:space="preserve"> </w:t>
      </w:r>
      <w:r>
        <w:rPr>
          <w:rFonts w:ascii="Leelawadee UI" w:hAnsi="Leelawadee UI" w:eastAsia="Leelawadee UI" w:cs="Leelawadee UI"/>
        </w:rPr>
        <w:t>ก็เป็นไปด้วยความเที่ยงตรงอันงดงามและด้วยความประสานกลมกลืนอย่างสมบูรณ์</w:t>
      </w:r>
      <w:r>
        <w:rPr>
          <w:rFonts w:ascii="Times New Roman" w:hAnsi="Times New Roman" w:eastAsia="Times New Roman" w:cs="Times New Roman"/>
        </w:rPr>
        <w:t xml:space="preserve"> </w:t>
      </w:r>
      <w:r>
        <w:rPr>
          <w:rFonts w:ascii="Leelawadee UI" w:hAnsi="Leelawadee UI" w:eastAsia="Leelawadee UI" w:cs="Leelawadee UI"/>
        </w:rPr>
        <w:t>บรรดาสัตภาวะแห่งสวรรค์เป็นผู้ขับเคลื่อนล้อเหล่านี้</w:t>
      </w:r>
      <w:r>
        <w:rPr>
          <w:rFonts w:ascii="Times New Roman" w:hAnsi="Times New Roman" w:eastAsia="Times New Roman" w:cs="Times New Roman"/>
        </w:rPr>
        <w:t xml:space="preserve"> </w:t>
      </w:r>
      <w:r>
        <w:rPr>
          <w:rFonts w:ascii="Leelawadee UI" w:hAnsi="Leelawadee UI" w:eastAsia="Leelawadee UI" w:cs="Leelawadee UI"/>
        </w:rPr>
        <w:t>และเหนือสิ่งอื่นใดนั้น</w:t>
      </w:r>
      <w:r>
        <w:rPr>
          <w:rFonts w:ascii="Times New Roman" w:hAnsi="Times New Roman" w:eastAsia="Times New Roman" w:cs="Times New Roman"/>
        </w:rPr>
        <w:t xml:space="preserve"> </w:t>
      </w:r>
      <w:r>
        <w:rPr>
          <w:rFonts w:ascii="Leelawadee UI" w:hAnsi="Leelawadee UI" w:eastAsia="Leelawadee UI" w:cs="Leelawadee UI"/>
        </w:rPr>
        <w:t>บนพระที่นั่งไพโรจน์ดุจไพลิน</w:t>
      </w:r>
      <w:r>
        <w:rPr>
          <w:rFonts w:ascii="Times New Roman" w:hAnsi="Times New Roman" w:eastAsia="Times New Roman" w:cs="Times New Roman"/>
        </w:rPr>
        <w:t xml:space="preserve"> </w:t>
      </w:r>
      <w:r>
        <w:rPr>
          <w:rFonts w:ascii="Leelawadee UI" w:hAnsi="Leelawadee UI" w:eastAsia="Leelawadee UI" w:cs="Leelawadee UI"/>
        </w:rPr>
        <w:t>คือองค์ผู้ทรงสถิตนิรันดร์</w:t>
      </w:r>
      <w:r>
        <w:rPr>
          <w:rFonts w:ascii="Times New Roman" w:hAnsi="Times New Roman" w:eastAsia="Times New Roman" w:cs="Times New Roman"/>
        </w:rPr>
        <w:t xml:space="preserve">; </w:t>
      </w:r>
      <w:r>
        <w:rPr>
          <w:rFonts w:ascii="Leelawadee UI" w:hAnsi="Leelawadee UI" w:eastAsia="Leelawadee UI" w:cs="Leelawadee UI"/>
        </w:rPr>
        <w:t>และรอบพระที่นั่งนั้นมีรุ้งโอบล้อมอยู่</w:t>
      </w:r>
      <w:r>
        <w:rPr>
          <w:rFonts w:ascii="Times New Roman" w:hAnsi="Times New Roman" w:eastAsia="Times New Roman" w:cs="Times New Roman"/>
        </w:rPr>
        <w:t xml:space="preserve"> </w:t>
      </w:r>
      <w:r>
        <w:rPr>
          <w:rFonts w:ascii="Leelawadee UI" w:hAnsi="Leelawadee UI" w:eastAsia="Leelawadee UI" w:cs="Leelawadee UI"/>
        </w:rPr>
        <w:t>เป็นสัญลักษณ์แห่งพระคุณและความรัก</w:t>
      </w:r>
      <w:r>
        <w:rPr>
          <w:rFonts w:ascii="Times New Roman" w:hAnsi="Times New Roman" w:eastAsia="Times New Roman" w:cs="Times New Roman"/>
        </w:rPr>
        <w:t xml:space="preserve"> </w:t>
      </w:r>
      <w:r>
        <w:rPr>
          <w:rFonts w:ascii="Leelawadee UI" w:hAnsi="Leelawadee UI" w:eastAsia="Leelawadee UI" w:cs="Leelawadee UI"/>
        </w:rPr>
        <w:t>เอเสเคียลซึ่งถูกครอบงำด้วยพระสิริอันน่าเกรงขามของภาพเหตุการณ์นั้น</w:t>
      </w:r>
      <w:r>
        <w:rPr>
          <w:rFonts w:ascii="Times New Roman" w:hAnsi="Times New Roman" w:eastAsia="Times New Roman" w:cs="Times New Roman"/>
        </w:rPr>
        <w:t xml:space="preserve"> </w:t>
      </w:r>
      <w:r>
        <w:rPr>
          <w:rFonts w:ascii="Leelawadee UI" w:hAnsi="Leelawadee UI" w:eastAsia="Leelawadee UI" w:cs="Leelawadee UI"/>
        </w:rPr>
        <w:t>ก็ซบหน้าลงกับพื้น</w:t>
      </w:r>
      <w:r>
        <w:rPr>
          <w:rFonts w:ascii="Times New Roman" w:hAnsi="Times New Roman" w:eastAsia="Times New Roman" w:cs="Times New Roman"/>
        </w:rPr>
        <w:t xml:space="preserve"> </w:t>
      </w:r>
      <w:r>
        <w:rPr>
          <w:rFonts w:ascii="Leelawadee UI" w:hAnsi="Leelawadee UI" w:eastAsia="Leelawadee UI" w:cs="Leelawadee UI"/>
        </w:rPr>
        <w:t>แล้วมีพระสุรเสียงตรัสสั่งให้ท่านลุกขึ้นและฟังพระวจนะของพระยาห์เวห์</w:t>
      </w:r>
      <w:r>
        <w:rPr>
          <w:rFonts w:ascii="Times New Roman" w:hAnsi="Times New Roman" w:eastAsia="Times New Roman" w:cs="Times New Roman"/>
        </w:rPr>
        <w:t xml:space="preserve"> </w:t>
      </w:r>
      <w:r>
        <w:rPr>
          <w:rFonts w:ascii="Leelawadee UI" w:hAnsi="Leelawadee UI" w:eastAsia="Leelawadee UI" w:cs="Leelawadee UI"/>
        </w:rPr>
        <w:t>จากนั้นจึงมีพระดำรัสแห่งคำเตือนสำหรับอิสราเอลมอบแก่ท่าน</w:t>
      </w:r>
      <w:r>
        <w:rPr>
          <w:rFonts w:ascii="Times New Roman" w:hAnsi="Times New Roman" w:eastAsia="Times New Roman" w:cs="Times New Roman"/>
        </w:rPr>
        <w:t>” Testimonies, 751.</w:t>
      </w:r>
    </w:p>
    <w:p>
      <w:pPr>
        <w:pStyle w:val="ArticleScripture"/>
        <w:jc w:val="left"/>
      </w:pPr>
      <w:r>
        <w:rPr>
          <w:rFonts w:ascii="Times New Roman" w:hAnsi="Times New Roman" w:eastAsia="Times New Roman" w:cs="Times New Roman"/>
        </w:rPr>
        <w:t>Nengwa dimon aku no Kemuulu, ukuvuluka uti, Mbeni ndamu tumina, era mbeni indua kutuendela? Bwo ndiawuluku nti, Ndi pano; ntuma yame. Yesaya 6:8.</w:t>
      </w:r>
    </w:p>
    <w:p>
      <w:pPr>
        <w:pStyle w:val="ArticleScripture"/>
        <w:jc w:val="left"/>
      </w:pPr>
      <w:r>
        <w:rPr>
          <w:rFonts w:ascii="Times New Roman" w:hAnsi="Times New Roman" w:eastAsia="Times New Roman" w:cs="Times New Roman"/>
        </w:rPr>
        <w:t>“Pono eno se filwe Hesekiele ka nako yeo monagano wa gagwe o bego o tletše ka go nagana pele dilo tše bohloko. O bone naga ya borakgolokhukhu ba gagwe e le lešope...”</w:t>
      </w:r>
    </w:p>
    <w:p>
      <w:pPr>
        <w:pStyle w:val="ArticleScripture"/>
        <w:jc w:val="left"/>
      </w:pPr>
      <w:r>
        <w:rPr>
          <w:rFonts w:ascii="Times New Roman" w:hAnsi="Times New Roman" w:eastAsia="Times New Roman" w:cs="Times New Roman"/>
        </w:rPr>
        <w:t>“Ka mokgwa o swanago, ge Modimo a be a le kgauswi le go utollela Johane morategi histori ya kereke bakeng sa meloko e tlago, O ile a mo nea netefatšo ya kgahlego le tlhokomelo ya Mophološi go batho ba Gagwe ka go mo utollela ‘Yo mongwe yo a swanago le Morwa wa motho,’ a sepela gare ga dikantlele, tšeo di bego di swantšhetša dikereke tše šupa. …”</w:t>
      </w:r>
    </w:p>
    <w:p>
      <w:pPr>
        <w:pStyle w:val="ArticleScripture"/>
        <w:jc w:val="left"/>
      </w:pPr>
      <w:r>
        <w:rPr>
          <w:rFonts w:ascii="Times New Roman" w:hAnsi="Times New Roman" w:eastAsia="Times New Roman" w:cs="Times New Roman"/>
        </w:rPr>
        <w:t>“Dithuto tše ke tša mohola wa rena. Re swanetše go tiiša tumelo ya rena go Modimo, gobane pele ga rena go na le nako yeo e tlago go leka meoya ya batho. …”</w:t>
      </w:r>
    </w:p>
    <w:p>
      <w:pPr>
        <w:pStyle w:val="ArticleScripture"/>
        <w:jc w:val="left"/>
      </w:pPr>
      <w:r>
        <w:rPr>
          <w:rFonts w:ascii="Times New Roman" w:hAnsi="Times New Roman" w:eastAsia="Times New Roman" w:cs="Times New Roman"/>
        </w:rPr>
        <w:t>“Kita berdiri di ambang peristiwa-peristiwa besar dan khidmat. Nubuatan sedang dengan cepat digenapi. Tuhan sudah di ambang pintu. Segera akan terbuka di hadapan kita suatu masa yang sangat menggugah perhatian bagi semua yang hidup. Pertikaian-pertikaian pada masa lampau akan dihidupkan kembali; pertikaian-pertikaian baru akan timbul. Adegan-adegan yang akan berlangsung di dunia kita ini bahkan belum pernah dibayangkan. Iblis sedang bekerja melalui alat-alat manusia. Mereka yang sedang berusaha mengubah Konstitusi dan memperoleh suatu undang-undang yang memaksakan pemeliharaan hari Minggu sedikit pun tidak menyadari apa yang akan menjadi akibatnya. Suatu krisis sudah tepat di hadapan kita.”</w:t>
      </w:r>
    </w:p>
    <w:p>
      <w:pPr>
        <w:pStyle w:val="ArticleScripture"/>
        <w:jc w:val="left"/>
      </w:pPr>
      <w:r>
        <w:rPr>
          <w:rFonts w:ascii="Times New Roman" w:hAnsi="Times New Roman" w:eastAsia="Times New Roman" w:cs="Times New Roman"/>
        </w:rPr>
        <w:t>“Namun para hamba Tuhan tidak boleh menaruh kepercayaan pada diri mereka sendiri dalam keadaan darurat yang besar ini. Dalam penglihatan-penglihatan yang diberikan kepada Yesaya, kepada Yehezkiel, dan kepada Yohanes, kita melihat betapa eratnya surga berhubungan dengan peristiwa-peristiwa yang terjadi di bumi dan betapa besarnya pemeliharaan Allah bagi mereka yang setia kepada-Nya. Dunia ini bukan tanpa seorang Penguasa. Rencana peristiwa-peristiwa yang akan datang berada di tangan Tuhan. Keagungan surga memegang dalam tanggungan-Nya sendiri nasib bangsa-bangsa, demikian juga perkara-perkara gereja-Nya. …”</w:t>
      </w:r>
    </w:p>
    <w:p>
      <w:pPr>
        <w:pStyle w:val="ArticleScripture"/>
        <w:jc w:val="left"/>
      </w:pPr>
      <w:r>
        <w:rPr>
          <w:rFonts w:ascii="Times New Roman" w:hAnsi="Times New Roman" w:eastAsia="Times New Roman" w:cs="Times New Roman"/>
        </w:rPr>
        <w:t>“Dalam penglihatan Yehezkiel, Allah memiliki tangan-Nya di bawah sayap-sayap kerubim. Ini untuk mengajarkan kepada hamba-hamba-Nya bahwa kuasa ilahi-lah yang memberikan kepada mereka keberhasilan. Ia akan bekerja bersama mereka jika mereka menyingkirkan kefasikan dan menjadi suci dalam hati dan kehidupan.</w:t>
      </w:r>
    </w:p>
    <w:p>
      <w:pPr>
        <w:pStyle w:val="ArticleScripture"/>
        <w:jc w:val="left"/>
      </w:pPr>
      <w:r>
        <w:rPr>
          <w:rFonts w:ascii="Times New Roman" w:hAnsi="Times New Roman" w:eastAsia="Times New Roman" w:cs="Times New Roman"/>
        </w:rPr>
        <w:t>“Lesedi le le phadimang le le tsamayang fa gare ga ditshedi tse di tshelang ka bonako jwa logadima le emela lebelo le tiro eno e tla feleletsang e tswelela ka lone go fitlha kwa phelelong. …”</w:t>
      </w:r>
    </w:p>
    <w:p>
      <w:pPr>
        <w:pStyle w:val="ArticleScripture"/>
        <w:jc w:val="left"/>
      </w:pPr>
      <w:r>
        <w:rPr>
          <w:rFonts w:ascii="Times New Roman" w:hAnsi="Times New Roman" w:eastAsia="Times New Roman" w:cs="Times New Roman"/>
        </w:rPr>
        <w:t>“Бародарон, ҳоло вақти мотаму ноумедӣ нест, вақти таслим шудан ба шакку беимонӣ нест. Масеҳ ҳоло Наҷотдиҳандае нест, ки дар қабри нави Юсуф бошад, бо санги бузург баста ва бо муҳри румӣ мӯҳр задашуда; мо Наҷотдиҳандаи эҳёшуда дорем. Ӯ Подшоҳ аст, Худованди лашкарҳост; Ӯ байни каррубиён нишастааст; ва дар миёни низоъ ва ошӯби халқҳо Ӯ ҳанӯз ҳам қавми Худро муҳофизат мекунад. Ӯ, ки дар осмонҳо ҳукмронӣ мекунад, Наҷотдиҳандаи мост. Ӯ ҳар озмоишро андоза мекунад. Ӯ оташи кӯраеро, ки бояд ҳар ҷонро бисанҷад, назорат мекунад. Ҳангоме ки қалъаҳои подшоҳон фурӯ рехта хоҳанд шуд, ҳангоме ки тирҳои ғазаби Худо дилҳои душманони Ӯро хоҳад шикофта, қавми Ӯ дар дасти Ӯ дар амон хоҳанд буд.” Testimonies, volume 5, 752–754.</w:t>
      </w:r>
    </w:p>
    <w:p>
      <w:pPr>
        <w:pStyle w:val="ArticleBody"/>
        <w:jc w:val="left"/>
      </w:pPr>
      <w:r>
        <w:rPr>
          <w:rFonts w:ascii="Times New Roman" w:hAnsi="Times New Roman" w:eastAsia="Times New Roman" w:cs="Times New Roman"/>
        </w:rPr>
        <w:t>Pā̀rọ̀ọ̀fátàn Bíbélì mẹ́rin jẹ́rìí sí òtítọ́ pé a fi ìhìnrere Ìfihàn Jésù Kristi fún àwọn ẹni wọ̀nyí tí a fi àwọn ìrírí wòlíì wọ̀nyí nínú ibi mímọ́ ṣàpẹẹrẹ wọn. Nígbà tí a bá wọ inú ibi mímọ́ ti ọ̀run, níbẹ̀ ni a ti ń fi ìhìnrere tí a ti yàn wá láti kéde fún wa. “Iná ileru” tí ń dán “ẹ̀mí gbogbo” wò ni ileru Málákì orí kẹta.</w:t>
      </w:r>
    </w:p>
    <w:p>
      <w:pPr>
        <w:pStyle w:val="ArticleScripture"/>
        <w:jc w:val="left"/>
      </w:pPr>
      <w:r>
        <w:rPr>
          <w:rFonts w:ascii="Times New Roman" w:hAnsi="Times New Roman" w:eastAsia="Times New Roman" w:cs="Times New Roman"/>
        </w:rPr>
        <w:t>Apakah yang dapat bertahan pada hari kedatangan-Nya? Dan siapakah yang akan tetap berdiri apabila Ia menampakkan diri? Sebab Ia seperti api pemurni dan seperti sabun tukang penatu. Ia akan duduk sebagai pemurni dan pentahir perak; Ia akan mentahirkan bani Lewi dan memurnikan mereka seperti emas dan perak, supaya mereka mempersembahkan kepada TUHAN suatu persembahan dalam kebenaran. Maka persembahan Yehuda dan Yerusalem akan berkenan kepada TUHAN, seperti pada hari-hari dahulu kala dan seperti pada tahun-tahun yang lampau. Maleakhi 3:2–4.</w:t>
      </w:r>
    </w:p>
    <w:p>
      <w:pPr>
        <w:pStyle w:val="ArticleBody"/>
        <w:jc w:val="left"/>
      </w:pPr>
      <w:r>
        <w:rPr>
          <w:rFonts w:ascii="Times New Roman" w:hAnsi="Times New Roman" w:eastAsia="Times New Roman" w:cs="Times New Roman"/>
        </w:rPr>
        <w:t>Mongoliin Дархан мөнгийг галд яг зохих хугацаагаар байлгасныг, мөнгө нь тийм цэвэр болж өөрийнх нь нүүрийг тусган харуулдаг болсон үед мэддэг. Эрт цагт мөнгийг хэрхэн цэвэршүүлдэг байсан энэ баримт нь Даниел арван бүлэгт харсан “marah” хэмээх үйлдүүлэх хэвийн үйл үгтэй нийцдэг. Эдгээр эцсийн өдрүүдэд Эзэн Өөрийн ард түмнийг ариун газарт удирдан оруулж, нэг зуун дөчин дөрвөн мянгын тугийн нэг хэсэг болох нэр дэвшигчдийг сорьж, цэвэршүүлж, ариусган зайлуулж байна. Энэ хугацаанд, хэрэв бид “ёс бусыг зайлуулж, зүрх ба амьдралдаа цэвэр болох” аваас, Тэр “бидэнтэй хамт ажиллах болно.” Зарим нь Даниел арванд гардаг шиг тэрхүү туршлагаас зугтдаг; харин Даниелаар бэлгэдэгдсэн хүмүүс Есүс Христийн илчлэлтийн агуу толь мэт үзэгдлийг үнэхээр хардаг бөгөөд Исаиагийн дүрсэлсэнчлэн тэдний уруул тахилын ширээнээс авсан нүүрсээр хүргэгдэж, тэрслэгч сүмд, дараа нь дэлхийд хүргэх мэдээг тунхаглахаар цэвэршүүлэгдэн бэлтгэгдэх болно.</w:t>
      </w:r>
    </w:p>
    <w:p>
      <w:pPr>
        <w:pStyle w:val="ArticleBody"/>
        <w:jc w:val="left"/>
      </w:pPr>
      <w:r>
        <w:rPr>
          <w:rFonts w:ascii="Times New Roman" w:hAnsi="Times New Roman" w:eastAsia="Times New Roman" w:cs="Times New Roman"/>
        </w:rPr>
        <w:t>Мэдээ нь ариун газарт буй тэрхүү итгэлтэй сүнснүүдэд толилуулагдсан байдаг. Левит хорин гурав нь Пентекостын үетэй уялдуулан үзэхэд, Хамгийн Ариун газарт буй Гэрээний авдрыг тусган харуулахаар зохион байгуулагдсан байдаг. Итгэлээр, тус бүлгийн мэдээнүүдийн бүтэц нь зуухны сорилт биелэн гүйцэтгэгддэг ариун түүхийн доторх гурван замын тэмдгийг тодорхойлдог. Тэнгэрлэгээр гүн утгатай—хорин гуравдугаар бүлгийн эш үзүүллэгийн бүтэц нь эш үзүүллэгийг судлагч хүнд Езекиелийг нэгдүгээр бүлгийн нэгдүгээр зүйлд байршуулах боломжийг олгодог.</w:t>
      </w:r>
    </w:p>
    <w:p>
      <w:pPr>
        <w:pStyle w:val="ArticleScripture"/>
        <w:jc w:val="left"/>
      </w:pPr>
      <w:r>
        <w:rPr>
          <w:rFonts w:ascii="Times New Roman" w:hAnsi="Times New Roman" w:eastAsia="Times New Roman" w:cs="Times New Roman"/>
        </w:rPr>
        <w:t>Mua lo ni a toba dupe ni odun kerindinlogbon, li osu kerin, li ojo karun-un osu na, bi emi ti wa larin awon igbekun leti odo Kebari, pe orun si sile, mo si ri iran Olorun. Li ojo karun-un osu na, eyini ni odun karun-un igbekun oba Jehoiakini. Esekiẹli 1:1, 2.</w:t>
      </w:r>
    </w:p>
    <w:p>
      <w:pPr>
        <w:pStyle w:val="ArticleBody"/>
        <w:jc w:val="left"/>
      </w:pPr>
      <w:r>
        <w:rPr>
          <w:rFonts w:ascii="Times New Roman" w:hAnsi="Times New Roman" w:eastAsia="Times New Roman" w:cs="Times New Roman"/>
        </w:rPr>
        <w:t>Sebagai seorang imam pada masa pemeteraian seratus empat puluh empat ribu, Yehezkiel berada pada tahun ketiga puluh dari kitaran Yobel yang ketujuh belas, lima tahun sebelum pengepungan yang ketiga daripada tiga pengepungan Yerusalem oleh Nebukadnezar pada tahun 587 SM. Tahun ketiga puluh dalam ayat itu ialah tiga puluh tahun sesudah kebangunan rohani yang terbesar dalam sejarah Perjanjian Lama, dan hal itu berlaku pada hari yang kelima dalam tahun yang kelima, sehingga bilangan lima diletakkan atas kesaksian Yehezkiel. Dalam dua ayat pembukaan itu kita mendapati bilangan tiga puluh dikenal pasti sekali dan bilangan lima disebut tiga kali. Dalam struktur Imamat dua puluh tiga yang disejajarkan dengan musim Pentakosta, ujian kedua yang dilambangkan oleh tiga puluh menjangkau sampai kepada Hari Raya Sangkakala, lima hari kepada kenaikan Kristus, kemudian lima hari kepada Hari Pendamaian, lalu lima hari kepada tanda jalan yang melambangkan baik hujan awal (Pentakosta) mahupun hujan akhir (Pondok Daun). Struktur itu memperlihatkan tiga puluh, diikuti oleh tiga langkah lima. Yehezkiel berada di dalam bait suci dan struktur Imamat dua puluh tiga itu ialah Tabut.</w:t>
      </w:r>
    </w:p>
    <w:p>
      <w:pPr>
        <w:pStyle w:val="ArticleBody"/>
        <w:jc w:val="left"/>
      </w:pPr>
      <w:r>
        <w:rPr>
          <w:rFonts w:ascii="Times New Roman" w:hAnsi="Times New Roman" w:eastAsia="Times New Roman" w:cs="Times New Roman"/>
        </w:rPr>
        <w:t>Hisitori i testify se Esekiel long dispela poin i stap faivpela yia paslain long wanpela makim raunim-biktaun, em i pinis na i tipifai long Sande lo i klostu long kam, olsem bagarap bilong Jerusalem i makim. Namba “faiv” em i wanpela nambawan hap bilong disain bilong Leviticus twenti-tri, olsem tu namba tri ten.</w:t>
      </w:r>
    </w:p>
    <w:p>
      <w:pPr>
        <w:pStyle w:val="ArticleBody"/>
        <w:jc w:val="left"/>
      </w:pPr>
      <w:r>
        <w:rPr>
          <w:rFonts w:ascii="Times New Roman" w:hAnsi="Times New Roman" w:eastAsia="Times New Roman" w:cs="Times New Roman"/>
        </w:rPr>
        <w:t>E artikulong khan hia ah, i tiang hmu a ni a, chapter hminga chhunga chang hmasa ber sawmhnih leh pahnihte chu chang hnuhnung ber sawmhnih leh pahnihte nêna an intlunkhawm a, chumi hnuah chang sawmhnih leh pahnih ni zawn line hnihte chu Pentecostal season nêna an intlunkhawm chuan, hriatthiam tûra fiahna kal thum, chu Malaki-a mei furnas chu, chiang takin a entîr a ni. Hêng kal thumte hian kal hmasa leh athumnaah alpha leh omega an nei a, chu chu waymark pali zawn series khat, kal khat aiawh tûrin a siam a ni.</w:t>
      </w:r>
    </w:p>
    <w:p>
      <w:pPr>
        <w:pStyle w:val="ArticleBody"/>
        <w:jc w:val="left"/>
      </w:pPr>
      <w:r>
        <w:rPr>
          <w:rFonts w:ascii="Times New Roman" w:hAnsi="Times New Roman" w:eastAsia="Times New Roman" w:cs="Times New Roman"/>
        </w:rPr>
        <w:t>Paska, diikuti oleh perayaan roti tidak beragi, diikuti oleh persembahan buah sulung jelai, lalu ‘lima’ hari sampai berakhirnya perayaan roti tidak beragi. Keempat penanda jalan itu membentuk ujian pertama, dan Yesus senantiasa menggambarkan kesudahan melalui permulaan, dan ujian ketiga juga terdiri dari empat penanda jalan. Hari raya sangkakala, kemudian kenaikan Kristus yang diikuti oleh Hari Pendamaian, dan kemudian lima hari sesudahnya tibanya baik Pentakosta maupun Pondok Daun. Pentakosta adalah lambang hujan awal dan Pondok Daun adalah lambang hujan akhir. Dalam model Imamat dua puluh tiga, baik Pentakosta maupun Pondok Daun sejajar.</w:t>
      </w:r>
    </w:p>
    <w:p>
      <w:pPr>
        <w:pStyle w:val="ArticleScripture"/>
        <w:jc w:val="left"/>
      </w:pPr>
      <w:r>
        <w:rPr>
          <w:rFonts w:ascii="Times New Roman" w:hAnsi="Times New Roman" w:eastAsia="Times New Roman" w:cs="Times New Roman"/>
        </w:rPr>
        <w:t>Bergembiralah, hai anak-anak Sion, dan bersukacitalah di dalam Tuhan, Allahmu; sebab Ia telah mengaruniakan kepadamu hujan awal dengan secukupnya, dan Ia akan menurunkan bagimu hujan, hujan awal dan hujan akhir, pada bulan yang pertama. Yoel 2:23.</w:t>
      </w:r>
    </w:p>
    <w:p>
      <w:pPr>
        <w:pStyle w:val="ArticleBody"/>
        <w:jc w:val="left"/>
      </w:pP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ꯁꯦꯡꯗꯣꯛꯄꯥ</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꯲꯰꯲꯳</w:t>
      </w:r>
      <w:r>
        <w:rPr>
          <w:rFonts w:ascii="Times New Roman" w:hAnsi="Times New Roman" w:eastAsia="Times New Roman" w:cs="Times New Roman"/>
        </w:rPr>
        <w:t xml:space="preserve"> </w:t>
      </w:r>
      <w:r>
        <w:rPr>
          <w:rFonts w:ascii="Nirmala UI" w:hAnsi="Nirmala UI" w:eastAsia="Nirmala UI" w:cs="Nirmala UI"/>
        </w:rPr>
        <w:t>ꯁꯥꯟꯒꯤ</w:t>
      </w:r>
      <w:r>
        <w:rPr>
          <w:rFonts w:ascii="Times New Roman" w:hAnsi="Times New Roman" w:eastAsia="Times New Roman" w:cs="Times New Roman"/>
        </w:rPr>
        <w:t xml:space="preserve"> </w:t>
      </w:r>
      <w:r>
        <w:rPr>
          <w:rFonts w:ascii="Nirmala UI" w:hAnsi="Nirmala UI" w:eastAsia="Nirmala UI" w:cs="Nirmala UI"/>
        </w:rPr>
        <w:t>ꯗꯤꯁꯦꯝꯕꯔ</w:t>
      </w:r>
      <w:r>
        <w:rPr>
          <w:rFonts w:ascii="Times New Roman" w:hAnsi="Times New Roman" w:eastAsia="Times New Roman" w:cs="Times New Roman"/>
        </w:rPr>
        <w:t xml:space="preserve"> </w:t>
      </w:r>
      <w:r>
        <w:rPr>
          <w:rFonts w:ascii="Nirmala UI" w:hAnsi="Nirmala UI" w:eastAsia="Nirmala UI" w:cs="Nirmala UI"/>
        </w:rPr>
        <w:t>꯳꯱ꯒꯤ</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ꯍꯧꯈ꯭ꯔꯦ꯫</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ꯑꯩꯐꯣꯜ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ꯑꯩꯐꯣꯜ</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ꯆꯦꯠꯅꯍꯟꯕꯁꯤꯡ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ꯌꯥꯟꯗꯕꯥ</w:t>
      </w:r>
      <w:r>
        <w:rPr>
          <w:rFonts w:ascii="Times New Roman" w:hAnsi="Times New Roman" w:eastAsia="Times New Roman" w:cs="Times New Roman"/>
        </w:rPr>
        <w:t xml:space="preserve"> </w:t>
      </w:r>
      <w:r>
        <w:rPr>
          <w:rFonts w:ascii="Nirmala UI" w:hAnsi="Nirmala UI" w:eastAsia="Nirmala UI" w:cs="Nirmala UI"/>
        </w:rPr>
        <w:t>ꯋꯥꯔꯣꯜꯁꯤꯡꯒꯤ</w:t>
      </w:r>
      <w:r>
        <w:rPr>
          <w:rFonts w:ascii="Times New Roman" w:hAnsi="Times New Roman" w:eastAsia="Times New Roman" w:cs="Times New Roman"/>
        </w:rPr>
        <w:t xml:space="preserve"> </w:t>
      </w:r>
      <w:r>
        <w:rPr>
          <w:rFonts w:ascii="Nirmala UI" w:hAnsi="Nirmala UI" w:eastAsia="Nirmala UI" w:cs="Nirmala UI"/>
        </w:rPr>
        <w:t>ꯁꯤꯝꯕꯣꯜ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꯲꯰꯲꯰</w:t>
      </w:r>
      <w:r>
        <w:rPr>
          <w:rFonts w:ascii="Times New Roman" w:hAnsi="Times New Roman" w:eastAsia="Times New Roman" w:cs="Times New Roman"/>
        </w:rPr>
        <w:t xml:space="preserve"> </w:t>
      </w:r>
      <w:r>
        <w:rPr>
          <w:rFonts w:ascii="Nirmala UI" w:hAnsi="Nirmala UI" w:eastAsia="Nirmala UI" w:cs="Nirmala UI"/>
        </w:rPr>
        <w:t>ꯁꯥꯟꯒꯤ</w:t>
      </w:r>
      <w:r>
        <w:rPr>
          <w:rFonts w:ascii="Times New Roman" w:hAnsi="Times New Roman" w:eastAsia="Times New Roman" w:cs="Times New Roman"/>
        </w:rPr>
        <w:t xml:space="preserve"> </w:t>
      </w:r>
      <w:r>
        <w:rPr>
          <w:rFonts w:ascii="Nirmala UI" w:hAnsi="Nirmala UI" w:eastAsia="Nirmala UI" w:cs="Nirmala UI"/>
        </w:rPr>
        <w:t>ꯖꯨꯂꯥꯏ</w:t>
      </w:r>
      <w:r>
        <w:rPr>
          <w:rFonts w:ascii="Times New Roman" w:hAnsi="Times New Roman" w:eastAsia="Times New Roman" w:cs="Times New Roman"/>
        </w:rPr>
        <w:t xml:space="preserve"> </w:t>
      </w:r>
      <w:r>
        <w:rPr>
          <w:rFonts w:ascii="Nirmala UI" w:hAnsi="Nirmala UI" w:eastAsia="Nirmala UI" w:cs="Nirmala UI"/>
        </w:rPr>
        <w:t>꯱꯸ꯒꯤ</w:t>
      </w:r>
      <w:r>
        <w:rPr>
          <w:rFonts w:ascii="Times New Roman" w:hAnsi="Times New Roman" w:eastAsia="Times New Roman" w:cs="Times New Roman"/>
        </w:rPr>
        <w:t xml:space="preserve"> </w:t>
      </w:r>
      <w:r>
        <w:rPr>
          <w:rFonts w:ascii="Nirmala UI" w:hAnsi="Nirmala UI" w:eastAsia="Nirmala UI" w:cs="Nirmala UI"/>
        </w:rPr>
        <w:t>ꯃꯥꯌꯊꯣꯡ</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ꯅꯣꯡꯃꯥꯏꯒꯤ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ꯃꯥꯃꯥꯡꯗꯒꯤ</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ꯑꯣꯏꯈꯤꯕꯥ</w:t>
      </w:r>
      <w:r>
        <w:rPr>
          <w:rFonts w:ascii="Times New Roman" w:hAnsi="Times New Roman" w:eastAsia="Times New Roman" w:cs="Times New Roman"/>
        </w:rPr>
        <w:t xml:space="preserve"> </w:t>
      </w:r>
      <w:r>
        <w:rPr>
          <w:rFonts w:ascii="Nirmala UI" w:hAnsi="Nirmala UI" w:eastAsia="Nirmala UI" w:cs="Nirmala UI"/>
        </w:rPr>
        <w:t>ꯃꯤꯌꯥꯝꯁꯤꯡꯗꯨ</w:t>
      </w:r>
      <w:r>
        <w:rPr>
          <w:rFonts w:ascii="Times New Roman" w:hAnsi="Times New Roman" w:eastAsia="Times New Roman" w:cs="Times New Roman"/>
        </w:rPr>
        <w:t xml:space="preserve"> </w:t>
      </w:r>
      <w:r>
        <w:rPr>
          <w:rFonts w:ascii="Nirmala UI" w:hAnsi="Nirmala UI" w:eastAsia="Nirmala UI" w:cs="Nirmala UI"/>
        </w:rPr>
        <w:t>ꯌꯥꯟꯅ</w:t>
      </w:r>
      <w:r>
        <w:rPr>
          <w:rFonts w:ascii="Times New Roman" w:hAnsi="Times New Roman" w:eastAsia="Times New Roman" w:cs="Times New Roman"/>
        </w:rPr>
        <w:t xml:space="preserve"> </w:t>
      </w:r>
      <w:r>
        <w:rPr>
          <w:rFonts w:ascii="Nirmala UI" w:hAnsi="Nirmala UI" w:eastAsia="Nirmala UI" w:cs="Nirmala UI"/>
        </w:rPr>
        <w:t>ꯑꯌꯦꯠꯍꯜꯂꯤ꯫</w:t>
      </w:r>
    </w:p>
    <w:p>
      <w:pPr>
        <w:pStyle w:val="ArticleScripture"/>
        <w:jc w:val="left"/>
      </w:pPr>
      <w:r>
        <w:rPr>
          <w:rFonts w:ascii="Times New Roman" w:hAnsi="Times New Roman" w:eastAsia="Times New Roman" w:cs="Times New Roman"/>
        </w:rPr>
        <w:t>“Dalam sejarah dan nubuatan, Firman Tuhan menggambarkan pertentangan yang panjang dan berterusan antara kebenaran dan kesesatan. Pertentangan itu masih sedang berlangsung. Perkara-perkara yang telah terjadi akan berulang. Pertikaian-pertikaian lama akan dibangkitkan semula, dan teori-teori baharu akan terus-menerus timbul. Tetapi umat Tuhan, yang dalam kepercayaan mereka dan dalam penggenapan nubuatan telah mengambil bahagian dalam pengisytiharan perkhabaran malaikat pertama, kedua, dan ketiga, mengetahui di mana mereka berdiri. Mereka mempunyai suatu pengalaman yang lebih berharga daripada emas murni. Mereka harus berdiri teguh seperti batu karang, sambil berpegang pada permulaan keyakinan mereka dengan teguh sampai kepada akhirnya.” Manuscript Releases, jilid 1, 47.</w:t>
      </w:r>
    </w:p>
    <w:p>
      <w:pPr>
        <w:pStyle w:val="ArticleBody"/>
        <w:jc w:val="left"/>
      </w:pPr>
      <w:r>
        <w:rPr>
          <w:rFonts w:ascii="Times New Roman" w:hAnsi="Times New Roman" w:eastAsia="Times New Roman" w:cs="Times New Roman"/>
        </w:rPr>
        <w:t>Ka Leviticus 23 ah a tûr hmasa ber chu hrilhfiahna pathum an awm a, chu chu ni nga chhûng hnuaiah chhang tel lo kut a tâwpna nên hrilhlâwkna lamah an inzawm tlângin a entîr a ni. Kalhlen Kût chu ni khatna a ni, chhang tel lo kût chu ni hnihna a ni, rah hmasa hlan chu ni thumna a ni. Ni nga hnuah chhang tel lo kût chu a tâwp ta. Hrilhfiahna pathum zînga tûr hmasa ber hrilhlâwkna sawi dân chu tûr thumna leh hnuhnung berah pawh a lang bawk. Chu waymark thumna, waymark pathum leh pakhatin a lo awm a, chu-ah trumpet kût chu ni khatna a ni; ni nga hnuah Krista kâlkâi lênna a lo thleng a; chutahni hnu chuan ni nga hnuah inremna ni a zui a; tichuan ni nga hnu lehah Pentikost leh Bawih In Kût pahnihin Sunday law lo kal thuai tûr chu an chhinchhiah a, chu chu Ezekiel bu-ah Jerusalem tihchhiatna anga a entîr a ni.</w:t>
      </w:r>
    </w:p>
    <w:p>
      <w:pPr>
        <w:pStyle w:val="ArticleBody"/>
        <w:jc w:val="left"/>
      </w:pPr>
      <w:r>
        <w:rPr>
          <w:rFonts w:ascii="Times New Roman" w:hAnsi="Times New Roman" w:eastAsia="Times New Roman" w:cs="Times New Roman"/>
        </w:rPr>
        <w:t>Di antara akhir perayaan Roti Tidak Beragi dan perayaan Sangkakala terdapat tiga puluh hari, yang bukan sahaja melambangkan suatu simbol seorang imam, tetapi juga ujian kedua daripada tiga ujian yang digambarkan dalam ilustrasi Ilahi.</w:t>
      </w:r>
    </w:p>
    <w:p>
      <w:pPr>
        <w:pStyle w:val="ArticleBody"/>
        <w:jc w:val="left"/>
      </w:pPr>
      <w:r>
        <w:rPr>
          <w:rFonts w:ascii="Times New Roman" w:hAnsi="Times New Roman" w:eastAsia="Times New Roman" w:cs="Times New Roman"/>
        </w:rPr>
        <w:t>Kolobetso ya Keresete e bontšha ditsela-tshwaya tše tharo tša Paseka, senkgwa se se sa omelwago ka tomoso le maungo a mathomo, gobane ditsela-tshwaya tšeo tše tharo di emela lehu la Keresete, poloko ya gagwe le tsogo ya gagwe. Megato yeo e meraro yeo e latelwago ke matšatši a mahlano go ya mogatong wa bone, wo o emelwago ke bofelo bja monyanya wa senkgwa se se sa omelwago ka tomoso. Kolobetso e tšweletša megato ye meraro ka motsotswana o tee wo mokopana ge Johane a kolobetša Mesia wa gagwe. Menyanya ya seruthwane e aroganya megato yeo e meraro ka letšatši le tee ka o tee, gomme menyanya ya lehlabula e aroganya megato yeo e meraro ka matšatši a mahlano.</w:t>
      </w:r>
    </w:p>
    <w:p>
      <w:pPr>
        <w:pStyle w:val="ArticleBody"/>
        <w:jc w:val="left"/>
      </w:pPr>
      <w:r>
        <w:rPr>
          <w:rFonts w:ascii="Times New Roman" w:hAnsi="Times New Roman" w:eastAsia="Times New Roman" w:cs="Times New Roman"/>
        </w:rPr>
        <w:t>Bila kita menerapkan ujian pertama bagi perayaan-perayaan musim bunga sebagai gabungan tiga tanda penunjuk yang diikuti oleh satu tanda penunjuk lima hari kemudian; lalu menerapkan perayaan-perayaan musim luruh sebagai tiga tanda penunjuk yang lima hari kemudian diikuti oleh satu tanda penunjuk, maka terbentuklah suatu struktur nubuatan yang terdiri daripada suatu tanda penunjuk alfa sebanyak tiga yang diikuti oleh lima hari, yang kemudian diikuti oleh tiga puluh hari, dan ujian ketiga bagi perayaan-perayaan musim luruh sebagai satu tanda penunjuk tiga yang diikuti oleh lima hari—struktur itu menggambarkan ujian pertama sebagai meliputi keseluruhan lima hari, diikuti oleh ujian kedua selama tiga puluh hari yang sampai kepada tanda penunjuk ketiga selama lima hari. Lima tambah tiga puluh, tambah lima ialah empat puluh (5 + 30 + 5 = 40).</w:t>
      </w:r>
    </w:p>
    <w:p>
      <w:pPr>
        <w:pStyle w:val="ArticleBody"/>
        <w:jc w:val="left"/>
      </w:pPr>
      <w:r>
        <w:rPr>
          <w:rFonts w:ascii="Times New Roman" w:hAnsi="Times New Roman" w:eastAsia="Times New Roman" w:cs="Times New Roman"/>
        </w:rPr>
        <w:t>Baptemé Kristo ya landí mbala moko na mikolo ntuku minei, oyo esukaki na komekama misato. Makambo mingi koleka ekoki komonana na ebongiseli ya Baebele mokapo ya ntuku mibale na misato elongo na eleko ya Pentecôte, kasi na etando mosusu mokapo yango ezali komonisa Sanduku na Esika Eleki Bosantu.</w:t>
      </w:r>
    </w:p>
    <w:p>
      <w:pPr>
        <w:pStyle w:val="ArticleBody"/>
        <w:jc w:val="left"/>
      </w:pPr>
      <w:r>
        <w:rPr>
          <w:rFonts w:ascii="Nirmala UI" w:hAnsi="Nirmala UI" w:eastAsia="Nirmala UI" w:cs="Nirmala UI"/>
        </w:rPr>
        <w:t>मिसरातील</w:t>
      </w:r>
      <w:r>
        <w:rPr>
          <w:rFonts w:ascii="Times New Roman" w:hAnsi="Times New Roman" w:eastAsia="Times New Roman" w:cs="Times New Roman"/>
        </w:rPr>
        <w:t xml:space="preserve"> </w:t>
      </w:r>
      <w:r>
        <w:rPr>
          <w:rFonts w:ascii="Nirmala UI" w:hAnsi="Nirmala UI" w:eastAsia="Nirmala UI" w:cs="Nirmala UI"/>
        </w:rPr>
        <w:t>नियमपुस्तक</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तेवीसामधील</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शरद</w:t>
      </w:r>
      <w:r>
        <w:rPr>
          <w:rFonts w:ascii="Times New Roman" w:hAnsi="Times New Roman" w:eastAsia="Times New Roman" w:cs="Times New Roman"/>
        </w:rPr>
        <w:t xml:space="preserve"> </w:t>
      </w:r>
      <w:r>
        <w:rPr>
          <w:rFonts w:ascii="Nirmala UI" w:hAnsi="Nirmala UI" w:eastAsia="Nirmala UI" w:cs="Nirmala UI"/>
        </w:rPr>
        <w:t>ऋतूतील</w:t>
      </w:r>
      <w:r>
        <w:rPr>
          <w:rFonts w:ascii="Times New Roman" w:hAnsi="Times New Roman" w:eastAsia="Times New Roman" w:cs="Times New Roman"/>
        </w:rPr>
        <w:t xml:space="preserve"> </w:t>
      </w:r>
      <w:r>
        <w:rPr>
          <w:rFonts w:ascii="Nirmala UI" w:hAnsi="Nirmala UI" w:eastAsia="Nirmala UI" w:cs="Nirmala UI"/>
        </w:rPr>
        <w:t>सण</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शब्बाथांच्या</w:t>
      </w:r>
      <w:r>
        <w:rPr>
          <w:rFonts w:ascii="Times New Roman" w:hAnsi="Times New Roman" w:eastAsia="Times New Roman" w:cs="Times New Roman"/>
        </w:rPr>
        <w:t xml:space="preserve"> </w:t>
      </w:r>
      <w:r>
        <w:rPr>
          <w:rFonts w:ascii="Nirmala UI" w:hAnsi="Nirmala UI" w:eastAsia="Nirmala UI" w:cs="Nirmala UI"/>
        </w:rPr>
        <w:t>मध्यभागी</w:t>
      </w:r>
      <w:r>
        <w:rPr>
          <w:rFonts w:ascii="Times New Roman" w:hAnsi="Times New Roman" w:eastAsia="Times New Roman" w:cs="Times New Roman"/>
        </w:rPr>
        <w:t xml:space="preserve"> </w:t>
      </w:r>
      <w:r>
        <w:rPr>
          <w:rFonts w:ascii="Nirmala UI" w:hAnsi="Nirmala UI" w:eastAsia="Nirmala UI" w:cs="Nirmala UI"/>
        </w:rPr>
        <w:t>ठेवलेले</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शब्बाथ</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आच्छादक</w:t>
      </w:r>
      <w:r>
        <w:rPr>
          <w:rFonts w:ascii="Times New Roman" w:hAnsi="Times New Roman" w:eastAsia="Times New Roman" w:cs="Times New Roman"/>
        </w:rPr>
        <w:t xml:space="preserve"> </w:t>
      </w:r>
      <w:r>
        <w:rPr>
          <w:rFonts w:ascii="Nirmala UI" w:hAnsi="Nirmala UI" w:eastAsia="Nirmala UI" w:cs="Nirmala UI"/>
        </w:rPr>
        <w:t>करूबांचे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तेवीसाशी</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पेंटेकोस्तकालीन</w:t>
      </w:r>
      <w:r>
        <w:rPr>
          <w:rFonts w:ascii="Times New Roman" w:hAnsi="Times New Roman" w:eastAsia="Times New Roman" w:cs="Times New Roman"/>
        </w:rPr>
        <w:t xml:space="preserve"> </w:t>
      </w:r>
      <w:r>
        <w:rPr>
          <w:rFonts w:ascii="Nirmala UI" w:hAnsi="Nirmala UI" w:eastAsia="Nirmala UI" w:cs="Nirmala UI"/>
        </w:rPr>
        <w:t>ऋतूच्या</w:t>
      </w:r>
      <w:r>
        <w:rPr>
          <w:rFonts w:ascii="Times New Roman" w:hAnsi="Times New Roman" w:eastAsia="Times New Roman" w:cs="Times New Roman"/>
        </w:rPr>
        <w:t xml:space="preserve"> </w:t>
      </w:r>
      <w:r>
        <w:rPr>
          <w:rFonts w:ascii="Nirmala UI" w:hAnsi="Nirmala UI" w:eastAsia="Nirmala UI" w:cs="Nirmala UI"/>
        </w:rPr>
        <w:t>मार्गचिन्हे</w:t>
      </w:r>
      <w:r>
        <w:rPr>
          <w:rFonts w:ascii="Times New Roman" w:hAnsi="Times New Roman" w:eastAsia="Times New Roman" w:cs="Times New Roman"/>
        </w:rPr>
        <w:t xml:space="preserve"> </w:t>
      </w:r>
      <w:r>
        <w:rPr>
          <w:rFonts w:ascii="Nirmala UI" w:hAnsi="Nirmala UI" w:eastAsia="Nirmala UI" w:cs="Nirmala UI"/>
        </w:rPr>
        <w:t>कराराचा</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आच्छादक</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यहेज्केलाला</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अध्यायात</w:t>
      </w:r>
      <w:r>
        <w:rPr>
          <w:rFonts w:ascii="Times New Roman" w:hAnsi="Times New Roman" w:eastAsia="Times New Roman" w:cs="Times New Roman"/>
        </w:rPr>
        <w:t xml:space="preserve"> </w:t>
      </w:r>
      <w:r>
        <w:rPr>
          <w:rFonts w:ascii="Nirmala UI" w:hAnsi="Nirmala UI" w:eastAsia="Nirmala UI" w:cs="Nirmala UI"/>
        </w:rPr>
        <w:t>पवित्रस्थानात</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वेढ्यापूर्वी</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दिवसांवर</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यरुशलेमाच्या</w:t>
      </w:r>
      <w:r>
        <w:rPr>
          <w:rFonts w:ascii="Times New Roman" w:hAnsi="Times New Roman" w:eastAsia="Times New Roman" w:cs="Times New Roman"/>
        </w:rPr>
        <w:t xml:space="preserve"> </w:t>
      </w:r>
      <w:r>
        <w:rPr>
          <w:rFonts w:ascii="Nirmala UI" w:hAnsi="Nirmala UI" w:eastAsia="Nirmala UI" w:cs="Nirmala UI"/>
        </w:rPr>
        <w:t>विनाशाकडे</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येऊ</w:t>
      </w:r>
      <w:r>
        <w:rPr>
          <w:rFonts w:ascii="Times New Roman" w:hAnsi="Times New Roman" w:eastAsia="Times New Roman" w:cs="Times New Roman"/>
        </w:rPr>
        <w:t xml:space="preserve"> </w:t>
      </w:r>
      <w:r>
        <w:rPr>
          <w:rFonts w:ascii="Nirmala UI" w:hAnsi="Nirmala UI" w:eastAsia="Nirmala UI" w:cs="Nirmala UI"/>
        </w:rPr>
        <w:t>घातलेल्या</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कायद्याचे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ठरतो</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कायदा</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तेवीसामध्ये</w:t>
      </w:r>
      <w:r>
        <w:rPr>
          <w:rFonts w:ascii="Times New Roman" w:hAnsi="Times New Roman" w:eastAsia="Times New Roman" w:cs="Times New Roman"/>
        </w:rPr>
        <w:t xml:space="preserve"> </w:t>
      </w:r>
      <w:r>
        <w:rPr>
          <w:rFonts w:ascii="Nirmala UI" w:hAnsi="Nirmala UI" w:eastAsia="Nirmala UI" w:cs="Nirmala UI"/>
        </w:rPr>
        <w:t>पेंटेकोस्त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तंबूंचा</w:t>
      </w:r>
      <w:r>
        <w:rPr>
          <w:rFonts w:ascii="Times New Roman" w:hAnsi="Times New Roman" w:eastAsia="Times New Roman" w:cs="Times New Roman"/>
        </w:rPr>
        <w:t xml:space="preserve"> </w:t>
      </w:r>
      <w:r>
        <w:rPr>
          <w:rFonts w:ascii="Nirmala UI" w:hAnsi="Nirmala UI" w:eastAsia="Nirmala UI" w:cs="Nirmala UI"/>
        </w:rPr>
        <w:t>सण</w:t>
      </w:r>
      <w:r>
        <w:rPr>
          <w:rFonts w:ascii="Times New Roman" w:hAnsi="Times New Roman" w:eastAsia="Times New Roman" w:cs="Times New Roman"/>
        </w:rPr>
        <w:t xml:space="preserve"> </w:t>
      </w:r>
      <w:r>
        <w:rPr>
          <w:rFonts w:ascii="Nirmala UI" w:hAnsi="Nirmala UI" w:eastAsia="Nirmala UI" w:cs="Nirmala UI"/>
        </w:rPr>
        <w:t>यांद्वारे</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तीसाव्या</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मलाखी</w:t>
      </w:r>
      <w:r>
        <w:rPr>
          <w:rFonts w:ascii="Times New Roman" w:hAnsi="Times New Roman" w:eastAsia="Times New Roman" w:cs="Times New Roman"/>
        </w:rPr>
        <w:t xml:space="preserve"> </w:t>
      </w:r>
      <w:r>
        <w:rPr>
          <w:rFonts w:ascii="Nirmala UI" w:hAnsi="Nirmala UI" w:eastAsia="Nirmala UI" w:cs="Nirmala UI"/>
        </w:rPr>
        <w:t>तीनमधील</w:t>
      </w:r>
      <w:r>
        <w:rPr>
          <w:rFonts w:ascii="Times New Roman" w:hAnsi="Times New Roman" w:eastAsia="Times New Roman" w:cs="Times New Roman"/>
        </w:rPr>
        <w:t xml:space="preserve"> </w:t>
      </w:r>
      <w:r>
        <w:rPr>
          <w:rFonts w:ascii="Nirmala UI" w:hAnsi="Nirmala UI" w:eastAsia="Nirmala UI" w:cs="Nirmala UI"/>
        </w:rPr>
        <w:t>भट्टीच्या</w:t>
      </w:r>
      <w:r>
        <w:rPr>
          <w:rFonts w:ascii="Times New Roman" w:hAnsi="Times New Roman" w:eastAsia="Times New Roman" w:cs="Times New Roman"/>
        </w:rPr>
        <w:t xml:space="preserve"> </w:t>
      </w:r>
      <w:r>
        <w:rPr>
          <w:rFonts w:ascii="Nirmala UI" w:hAnsi="Nirmala UI" w:eastAsia="Nirmala UI" w:cs="Nirmala UI"/>
        </w:rPr>
        <w:t>अग्नीची</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करणाऱ्या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परीक्षांपैकी</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परीक्षेचा</w:t>
      </w:r>
      <w:r>
        <w:rPr>
          <w:rFonts w:ascii="Times New Roman" w:hAnsi="Times New Roman" w:eastAsia="Times New Roman" w:cs="Times New Roman"/>
        </w:rPr>
        <w:t xml:space="preserve"> </w:t>
      </w:r>
      <w:r>
        <w:rPr>
          <w:rFonts w:ascii="Nirmala UI" w:hAnsi="Nirmala UI" w:eastAsia="Nirmala UI" w:cs="Nirmala UI"/>
        </w:rPr>
        <w:t>कालावधी</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दिवसांनी</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योशीयाच्या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पास्ख्यापासून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सतराव्या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चक्राच्या</w:t>
      </w:r>
      <w:r>
        <w:rPr>
          <w:rFonts w:ascii="Times New Roman" w:hAnsi="Times New Roman" w:eastAsia="Times New Roman" w:cs="Times New Roman"/>
        </w:rPr>
        <w:t xml:space="preserve"> </w:t>
      </w:r>
      <w:r>
        <w:rPr>
          <w:rFonts w:ascii="Nirmala UI" w:hAnsi="Nirmala UI" w:eastAsia="Nirmala UI" w:cs="Nirmala UI"/>
        </w:rPr>
        <w:t>तीसाव्या</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संबोधतात</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वेढ्याच्या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अवशेषांना</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परिशुद्ध</w:t>
      </w:r>
      <w:r>
        <w:rPr>
          <w:rFonts w:ascii="Times New Roman" w:hAnsi="Times New Roman" w:eastAsia="Times New Roman" w:cs="Times New Roman"/>
        </w:rPr>
        <w:t xml:space="preserve"> </w:t>
      </w:r>
      <w:r>
        <w:rPr>
          <w:rFonts w:ascii="Nirmala UI" w:hAnsi="Nirmala UI" w:eastAsia="Nirmala UI" w:cs="Nirmala UI"/>
        </w:rPr>
        <w:t>करणाऱ्या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परीक्षांमधील</w:t>
      </w:r>
      <w:r>
        <w:rPr>
          <w:rFonts w:ascii="Times New Roman" w:hAnsi="Times New Roman" w:eastAsia="Times New Roman" w:cs="Times New Roman"/>
        </w:rPr>
        <w:t xml:space="preserve"> </w:t>
      </w:r>
      <w:r>
        <w:rPr>
          <w:rFonts w:ascii="Nirmala UI" w:hAnsi="Nirmala UI" w:eastAsia="Nirmala UI" w:cs="Nirmala UI"/>
        </w:rPr>
        <w:t>मध्यवर्ती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परीक्षांच्या</w:t>
      </w:r>
      <w:r>
        <w:rPr>
          <w:rFonts w:ascii="Times New Roman" w:hAnsi="Times New Roman" w:eastAsia="Times New Roman" w:cs="Times New Roman"/>
        </w:rPr>
        <w:t xml:space="preserve"> </w:t>
      </w:r>
      <w:r>
        <w:rPr>
          <w:rFonts w:ascii="Nirmala UI" w:hAnsi="Nirmala UI" w:eastAsia="Nirmala UI" w:cs="Nirmala UI"/>
        </w:rPr>
        <w:t>मध्यभागी</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रूपांतराचा</w:t>
      </w:r>
      <w:r>
        <w:rPr>
          <w:rFonts w:ascii="Times New Roman" w:hAnsi="Times New Roman" w:eastAsia="Times New Roman" w:cs="Times New Roman"/>
        </w:rPr>
        <w:t xml:space="preserve"> </w:t>
      </w:r>
      <w:r>
        <w:rPr>
          <w:rFonts w:ascii="Nirmala UI" w:hAnsi="Nirmala UI" w:eastAsia="Nirmala UI" w:cs="Nirmala UI"/>
        </w:rPr>
        <w:t>डोंगर</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यांद्वारे</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592 BC, Hesekiele o dirwa semakgonthe “semumu” mme o bua fela fa Modimo a bula molomo wa gagwe. Boemo joo bo tswelela go fitlha go wa ga Jerusalema ka 585/6 BC. Modimo o ne a mo dirisitse gore a bue fa thibelo ya motse e ne e simologa, ka letsatsi le “se o” “seletsang matlho” a gagwe se neng sa swa, mme o ne a sa letlelelwa go bua ka kgololesego go fitlha Jerusalema, “se se” “seletsang matlho” a Iseraele, se wedile. Go wa ga Jerusalema go emela molao wa Tshipi o o tla tlogang o tla, mme ke gone moo rraagwe Johane Mokolobetsi, moperesiti wa setlhopha sa borobedi, yo o neng a dirilwe semumu fa a ntse a direla mo tempeleng, e leng kwa Hesekiele a neng a le gone (mo ponong), le ene a dirilweng semumu ka dikgwedi di ka nna robongwe. E ne e le ka letsatsi la borobedi morago ga matsalo a ga Johane, fa Johane a ne a bidiwa go rupa, moo a neng a letlelelwa go bua. Baporofeti ba babedi ba ne ba dirwa dimumu fa ba le mo sehalalelong. Moporofeti wa boraro yo o neng a dirwa semumu fa a ntse a bona Keresete mo sehalalelong e ne e le Daniele. Mo kgaolong ya lesome, Daniele o mo sehalalelong, mme fela jaaka a ntse a tshwarwa lekgetlo la bobedi mo makgetlong a mararo, o dirwa semumu. Mo ntlheng ya bogare Daniele o dirwa semumu.</w:t>
      </w:r>
    </w:p>
    <w:p>
      <w:pPr>
        <w:pStyle w:val="ArticleScripture"/>
        <w:jc w:val="left"/>
      </w:pPr>
      <w:r>
        <w:rPr>
          <w:rFonts w:ascii="Times New Roman" w:hAnsi="Times New Roman" w:eastAsia="Times New Roman" w:cs="Times New Roman"/>
        </w:rPr>
        <w:t>Meyeti nyie de me, menam m’anim guu fam, na meyɛɛ mum. Na hwɛ, obi a ɔte sɛ nnipa mma no de ne nsa kaa m’anofafa; ɛno akyi no, mibuee m’ano, kasae, na meka kyerɛɛ nea ogyina m’anim no sɛ: Ao, me wura, anisoadehu no nti awerɛhow ahorow aba me so, na minnya ahoɔden biara. Daniel 10:15, 16.</w:t>
      </w:r>
    </w:p>
    <w:p>
      <w:pPr>
        <w:pStyle w:val="ArticleHeading"/>
        <w:jc w:val="left"/>
      </w:pPr>
      <w:r>
        <w:rPr>
          <w:rFonts w:ascii="Leelawadee UI" w:hAnsi="Leelawadee UI" w:eastAsia="Leelawadee UI" w:cs="Leelawadee UI"/>
        </w:rPr>
        <w:t>ການເວົ້າ</w:t>
      </w:r>
    </w:p>
    <w:p>
      <w:pPr>
        <w:pStyle w:val="ArticleBody"/>
        <w:jc w:val="left"/>
      </w:pPr>
      <w:r>
        <w:rPr>
          <w:rFonts w:ascii="Nirmala UI" w:hAnsi="Nirmala UI" w:eastAsia="Nirmala UI" w:cs="Nirmala UI"/>
        </w:rPr>
        <w:t>ਸੰਦੇਹ</w:t>
      </w:r>
      <w:r>
        <w:rPr>
          <w:rFonts w:ascii="Times New Roman" w:hAnsi="Times New Roman" w:eastAsia="Times New Roman" w:cs="Times New Roman"/>
        </w:rPr>
        <w:t xml:space="preserve"> </w:t>
      </w:r>
      <w:r>
        <w:rPr>
          <w:rFonts w:ascii="Nirmala UI" w:hAnsi="Nirmala UI" w:eastAsia="Nirmala UI" w:cs="Nirmala UI"/>
        </w:rPr>
        <w:t>ਰਹਿਤ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ਬਿਲਆਮ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ਹਬੱਕੂਕ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ਭਵਿੱਖਦ੍ਰਿਸ਼ਟਾ</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ਗੂੰਗੇ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ਜ਼ਖਰਿਆਹ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A fa hlolang ke tla mo dira pilara mo tempeleng ya Modimo wa me, mme ga a kitla a tlhola a tswa; mme ke tla kwala mo go ene leina la Modimo wa me, le leina la motse wa Modimo wa me, e leng Jerusalema e ntšha, o o fologang kwa legodimong o tswa kwa Modimong wa me; mme ke tla kwala mo go ene leina la me le lesha. Tshenolo 3:12.</w:t>
      </w:r>
    </w:p>
    <w:p>
      <w:pPr>
        <w:pStyle w:val="ArticleBody"/>
        <w:jc w:val="left"/>
      </w:pPr>
      <w:r>
        <w:rPr>
          <w:rFonts w:ascii="Times New Roman" w:hAnsi="Times New Roman" w:eastAsia="Times New Roman" w:cs="Times New Roman"/>
        </w:rPr>
        <w:t>Zachariah o ile a newa letlapa gore a kwale leina le lesha la lapa la ga Johane.</w:t>
      </w:r>
    </w:p>
    <w:p>
      <w:pPr>
        <w:pStyle w:val="ArticleScripture"/>
        <w:jc w:val="left"/>
      </w:pPr>
      <w:r>
        <w:rPr>
          <w:rFonts w:ascii="Times New Roman" w:hAnsi="Times New Roman" w:eastAsia="Times New Roman" w:cs="Times New Roman"/>
        </w:rPr>
        <w:t>Dan terjadilah, pada hari yang kedelapan mereka datang untuk menyunatkan kanak-kanak itu; lalu mereka menamakannya Zakharia, menurut nama bapanya. Tetapi ibunya menjawab, katanya, Tidak; sebaliknya dia akan dinamakan Yohanes. Dan mereka berkata kepadanya, Tidak seorang pun daripada sanak saudaramu yang disebut dengan nama ini. Lalu mereka memberi isyarat kepada bapanya, hendak mengetahui dengan nama apakah dia mahu anak itu dipanggil. Maka dia meminta sebuah loh tulis, lalu menulis, katanya, Namanya ialah Yohanes. Dan mereka semuanya hairan. Serta-merta mulutnya terbuka, dan lidahnya terlepas, lalu dia berkata-kata dan memuji Allah. Lukas 1:59–64.</w:t>
      </w:r>
    </w:p>
    <w:p>
      <w:pPr>
        <w:pStyle w:val="ArticleBody"/>
        <w:jc w:val="left"/>
      </w:pPr>
      <w:r>
        <w:rPr>
          <w:rFonts w:ascii="Times New Roman" w:hAnsi="Times New Roman" w:eastAsia="Times New Roman" w:cs="Times New Roman"/>
        </w:rPr>
        <w:t>Nku ṱhwa ya Yohane i tshimbidzana na kereke ya Filadelfia, nahone dzina ḽa Sakaria ḽi tshimbidzana na Laodisea sa zwe zwa imelwa nga u sa tenda ha Sakaria kha mulaedza wa muruṅwa wa vhuraru. Vhaporofita vhoṱhe vha amba nga maḓuvha a magumo, nahone maḓuvha a magumo ndi ḓivhazwakale ya muruṅwa wa vhuraru. Ngauralo muruṅwa we a ḓisa mulaedza u fanela u vha muruṅwa wa vhuraru. Sakaria o hana u pfesesa uri Murena u ḓo fhira kereke ya Vhaadventista vha Ḓuvha ḽa Sumbe ya Laodisea. Hu tshee na zwiṅwe zwine zwa tea u ambiwa nga ha u vusuludzwa ha ipfi kha avha vhaporofita, fhedzi ri ḓo bvela phanḓa ri tshi ya kha u pfesesa ha mutevhe wa vhuporofita wa Yosia.</w:t>
      </w:r>
    </w:p>
    <w:p>
      <w:pPr>
        <w:pStyle w:val="ArticleHeading"/>
        <w:jc w:val="left"/>
      </w:pPr>
      <w:r>
        <w:rPr>
          <w:rFonts w:ascii="Arial" w:hAnsi="Arial" w:eastAsia="Arial" w:cs="Arial"/>
        </w:rPr>
        <w:t>Gembul Liah Josiah</w:t>
      </w:r>
    </w:p>
    <w:p>
      <w:pPr>
        <w:pStyle w:val="ArticleBody"/>
        <w:jc w:val="left"/>
      </w:pPr>
      <w:r>
        <w:rPr>
          <w:rFonts w:ascii="Times New Roman" w:hAnsi="Times New Roman" w:eastAsia="Times New Roman" w:cs="Times New Roman"/>
        </w:rPr>
        <w:t>Kita telah membahas siklus Yobel ketujuh belas yang dimulai pada Paskah Yosia pada tahun 622 SM, tetapi garis Yosia bermula jauh sebelum tahun 622 SM. Pemberontakan Israel yang mengangkat Saul ke atas takhta sebagai raja pertama Israel menandai empat puluh tahun pemerintahan raja Saul, diikuti oleh empat puluh tahun pemerintahan raja Daud, lalu diikuti oleh empat puluh tahun pemerintahan Salomo. Penolakan terhadap Allah yang demikian menyinggung nabi Samuel itu terjadi pada tahun 1097 SM, dan memulai suatu garis kenabian pemberontakan yang berakhir di salib ketika orang-orang Yahudi menyatakan bahwa mereka tidak mempunyai raja selain Kaisar.</w:t>
      </w:r>
    </w:p>
    <w:p>
      <w:pPr>
        <w:pStyle w:val="ArticleScripture"/>
        <w:jc w:val="left"/>
      </w:pPr>
      <w:r>
        <w:rPr>
          <w:rFonts w:ascii="Times New Roman" w:hAnsi="Times New Roman" w:eastAsia="Times New Roman" w:cs="Times New Roman"/>
        </w:rPr>
        <w:t>Tetapi mereka berteriak, Singkirkan Dia, singkirkan Dia, salibkanlah Dia. Pilatus berkata kepada mereka, Haruskah aku menyalibkan Rajamu? Imam-imam kepala menjawab, Kami tidak mempunyai raja selain Kaisar. Yohanes 19:15.</w:t>
      </w:r>
    </w:p>
    <w:p>
      <w:pPr>
        <w:pStyle w:val="ArticleBody"/>
        <w:jc w:val="left"/>
      </w:pPr>
      <w:r>
        <w:rPr>
          <w:rFonts w:ascii="Times New Roman" w:hAnsi="Times New Roman" w:eastAsia="Times New Roman" w:cs="Times New Roman"/>
        </w:rPr>
        <w:t>Ka 1097, go be go buša dikgoši tše tharo ka nywaga ye masomenne ka o tee-tee go fihla lehung la Solomone ka 977 BC, ge mmušo o ile wa arogana ka morago wa ba wa leboa le wa borwa.</w:t>
      </w:r>
    </w:p>
    <w:p>
      <w:pPr>
        <w:pStyle w:val="ArticleScripture"/>
        <w:jc w:val="left"/>
      </w:pPr>
      <w:r>
        <w:rPr>
          <w:rFonts w:ascii="Times New Roman" w:hAnsi="Times New Roman" w:eastAsia="Times New Roman" w:cs="Times New Roman"/>
        </w:rPr>
        <w:t>Nabo ka moragonyana ba eletsa kgosi; mme Modimo a ba naya Saulo, morwa Kise, monna wa lotso lwa Benjamine, ka lobaka lwa dingwaga di le masome a mane. Ditiro 13:21.</w:t>
      </w:r>
    </w:p>
    <w:p>
      <w:pPr>
        <w:pStyle w:val="ArticleScripture"/>
        <w:jc w:val="left"/>
      </w:pPr>
      <w:r>
        <w:rPr>
          <w:rFonts w:ascii="Times New Roman" w:hAnsi="Times New Roman" w:eastAsia="Times New Roman" w:cs="Times New Roman"/>
        </w:rPr>
        <w:t>Daud berumur tiga puluh tahun ketika ia mulai memerintah, dan ia memerintah empat puluh tahun lamanya. Di Hebron ia memerintah atas Yehuda tujuh tahun enam bulan; dan di Yerusalem ia memerintah tiga puluh tiga tahun atas seluruh Israel dan Yehuda. 2 Samuel 2:4, 5.</w:t>
      </w:r>
    </w:p>
    <w:p>
      <w:pPr>
        <w:pStyle w:val="ArticleBody"/>
        <w:jc w:val="left"/>
      </w:pPr>
      <w:r>
        <w:rPr>
          <w:rFonts w:ascii="Times New Roman" w:hAnsi="Times New Roman" w:eastAsia="Times New Roman" w:cs="Times New Roman"/>
        </w:rPr>
        <w:t>Mbuso wa Solomo u thomile nga 1017 BC; mutheo wa Thempeli wo vhewa nga ṅwaha wa vhuṋa wa Solomo (1013 BC). U fhaṱiwa ho dzhia miṅwaha ya sumbe (1 Dzikhosi 6:37–38), nahone Thempeli ya fhela nga ṅwedzi wa vhumalo wa ṅwaha wa vhuṱahe na muthihi wa Solomo. U kumedzwa ha tshiofisi ho itwa nga ṅwedzi wa vhusumbe (ṅwedzi wa Ethanimu), nga tshifhinga tsha Muṱa wa Dzitumba (1 Dzikhosi 8; 2 Koronika 5–7), nga 1006 BC. Dzikhosi, Thempeli, na lushaka, tshiṅwe na tshiṅwe, zwi imelwa kha ḓivhazwakale nga tshifhinga tsha miṅwaha ya maḓana maṋa na fumi-maṱanu, tshine nga u vha khagala tsha swaya tshifhinga tsha vhuporofita tshi elanaho kana na dzikhosi, kana na Thempeli, kana na lushaka.</w:t>
      </w:r>
    </w:p>
    <w:p>
      <w:pPr>
        <w:pStyle w:val="ArticleBody"/>
        <w:jc w:val="left"/>
      </w:pPr>
      <w:r>
        <w:rPr>
          <w:rFonts w:ascii="Times New Roman" w:hAnsi="Times New Roman" w:eastAsia="Times New Roman" w:cs="Times New Roman"/>
        </w:rPr>
        <w:t>Daniel a wɔfaa no nnommum wɔ afe 607 ansa na Kristo reba no, ɛwom sɛ wɔn a wɔhwehwɛ Bible mmere nhyehyɛe mu dodow no ara kyerɛ afe 605 ansa na Kristo reba no. Ɛsɛ sɛ abakɔsɛm kyerɛwtohɔ no ne nkɔmhyɛ adanse no hyia, na nsɛm a esisii a wɔde ahyɛ abakɔsɛm kwan a efi ɔhene a wɔpɛe no ase wɔ afe 1097 ansa na Kristo reba no mu no sɛnkyerɛnne hwehwɛ, wɔ nkɔmhyɛ mu adansefo pii so, sɛ afe 607 ansa na Kristo reba no ne dwumadie pa no, na ɛnyɛ afe 605 ansa na Kristo reba no. Afe 607 ansa na Kristo reba no hyɛ ahene kwan mu mfe ahannan ne aduokron awiei agyirae, nanso ɛsan nso fi mfe aduɔson no ho mfonini atitiriw abiɛsa a ɛba kwan no mu no mu baako ase. Afe 607 ansa na Kristo reba no hyɛ mfe aduɔson a efi Manase nnommumfa a esii wɔ afe 677 ansa na Kristo reba no ase no awiei agyirae. Mfe ahannan ne aduokron no sɛnkyerɛnne no ho mfonini a edi kan no (a ɛwɔ adansefo abiɛsa wɔ kwan no mu no) wie baabi a mfe aduɔson no ho adansefo abiɛsa no mu baako ba awiei na adanse foforo a ɛfa mfe aduɔson ho no fi ase; akontabuo nhyehyɛe no di adanse ma afe 607 ansa na Kristo reba no, ɛmfa ho adwene a ɛka sɛ wɔfaa Daniel nnommum wɔ afe 605 ansa na Kristo reba no.</w:t>
      </w:r>
    </w:p>
    <w:p>
      <w:pPr>
        <w:pStyle w:val="ArticleBody"/>
        <w:jc w:val="left"/>
      </w:pPr>
      <w:r>
        <w:rPr>
          <w:rFonts w:ascii="Times New Roman" w:hAnsi="Times New Roman" w:eastAsia="Times New Roman" w:cs="Times New Roman"/>
        </w:rPr>
        <w:t>Di dalam garis yang mencakup suatu periode 490 tahun yang berkaitan dengan raja-raja dari 1097 SM hingga 607 SM, terdapat pula 490 tahun dari pentahbisan Bait Suci Salomo hingga pentahbisan Bait Suci pascapembuangan oleh Zerubabel pada tahun 516 SM. Masa 490 tahun itu terdiri atas 420 tahun sejak pentahbisan Salomo pada tahun kesebelas pemerintahannya, ditambah 70 tahun ketika Bait Suci itu sunyi sepi selama penawanan, sehingga genap 490 tahun. Dekret ketiga Artahsasta datang 59 tahun kemudian, pada tahun 457 SM, dan menandai permulaan 490 tahun yang “telah ditetapkan” (dipotong, Daniel 9:24) bagi umat Allah, yang berakhir pada tahun 34 dalam perajaman Stefanus. Tentu saja, masih ada banyak lagi kesaksian kronologis yang mendalam dalam garis nubuatan yang dimulai dengan kemurtadan mendasar, yaitu penolakan terhadap Allah dan Roh Nubuat pada tahun 1097 SM, dan berakhir ketika Stefanus melihat Kristus berdiri di sebelah kanan Allah. Di dalam kesaksian ini kita menemukan roda nubuatan Yosia.</w:t>
      </w:r>
    </w:p>
    <w:p>
      <w:pPr>
        <w:pStyle w:val="ArticleBody"/>
        <w:jc w:val="left"/>
      </w:pPr>
      <w:r>
        <w:rPr>
          <w:rFonts w:ascii="Times New Roman" w:hAnsi="Times New Roman" w:eastAsia="Times New Roman" w:cs="Times New Roman"/>
        </w:rPr>
        <w:t>Ndzi ri “ku fularhela ka masungulo,” hikuva masungulo ya nxaxamelo ma kombisa nkarhi lowu Israele va aleke Xikwembu tanihi Hosi, hi ku navela ka vona ku va ni hosi ya misava, kutani sweswo swi fungha masungulo ya vuhosi bya vanhu bya Israele. Nakambe ndzi tsalela leswi malunghana ni gili ra Yosiya, leri vulaka “masungulo ya Xikwembu,” hikuva i xikombiso xa masungulo ni xa ku fularhela ka masungulo ka vanhu va Xikwembu.</w:t>
      </w:r>
    </w:p>
    <w:p>
      <w:pPr>
        <w:pStyle w:val="ArticleBody"/>
        <w:jc w:val="left"/>
      </w:pPr>
      <w:r>
        <w:rPr>
          <w:rFonts w:ascii="Times New Roman" w:hAnsi="Times New Roman" w:eastAsia="Times New Roman" w:cs="Times New Roman"/>
        </w:rPr>
        <w:t>Kutlâk Salomoŋ odu nŋɔm kɛm baŋ-kɛr bɛŋ du kɛr bɛŋ ka boroŋ, Jeroboam nɛ sɔŋ nɛ yel nɛ kɛr-kɛr nɛ yel nɛ sɛŋgɛl nɛ nyɛrɛl nɛ yel nɛ nɔŋgɔl bɔlɛl, kɔrɔm nɛ kɛrɛŋ nɛ yiwɛl nɛ kɔrɔm nɛ lɛkɛl; ka kɔrɔm nɛ yiwɛl nɛ lɔm nɛ paŋ nɛ kɛrɛŋ yel nɛ kutlâk nɛ ba nɔŋ nɛ ŋgɔn Josiah. Nɛ Jeroboam ka kɛm kɛr bɛŋ nŋɔm nɛ boroŋ nɛ nyɛrɛl nɛ yel nɛ pɛtɛl nɛ paŋ, kutlâk nɛ Josiah ka nɛ yir nɛ sɔŋgɛl nɛ yel nɛ Kɛlɛŋ Paska nɛ 622 BC bɔl nɛ paŋ. Sɔŋgɛl nɛ yel nɛ la bɔl nɛ baŋ nɛ lɔm nɛ pɛtɛl nɛ Musa ka nɛ tɛrɛl nɛ yiwɛl nɛ bɔl nɛ baŋ nɛ yi nɛ nyɛrɛl nɛ Kɔriŋ nɛ yiwɛl nɛ wɔn nɛ yel nɛ pɛtɛl. Kutlâk nɛ lɔm nɛ pɛtɛl nɛ Musa bɔl nɛ kɛrɛŋ nɛ kutlâk Josiah, a bɔl nɛ paŋ sɔŋgɛl nɛ yel nɛ kɛr-kɛr nɛ tɛtɛl nɛ Tɛstamɛn Kɔrɔŋ. Kutlâk nɛ ŋgɔn nɛ ba ba nɔŋ nɛ ŋgɔn Josiah la kɛm bɔl nɛ yiwɛl nɛ yiwɛl nɛ nyɛrɛl nɛ yel nɛ pɛtɛl nɛ paŋ nɛ kɔrɔm nɛ yiwɛl nɛ lɛkɛl nɛ baŋ nɛ kutlâk Jeroboam.</w:t>
      </w:r>
    </w:p>
    <w:p>
      <w:pPr>
        <w:pStyle w:val="ArticleBody"/>
        <w:jc w:val="left"/>
      </w:pPr>
      <w:r>
        <w:rPr>
          <w:rFonts w:ascii="Times New Roman" w:hAnsi="Times New Roman" w:eastAsia="Times New Roman" w:cs="Times New Roman"/>
        </w:rPr>
        <w:t>Kutlo ya Moshe, bjalo ka ge Daniele a e bitša, ke “dinako tše šupago” tša Lefitiko masomepedi-tshela, gomme ya ba kutollo ya motheo ya William Miller, yo e lego seka sa ditherešo tša motheo tša Bo-Adventist. Go matlafatšwa ga molaetša wa Miller ka la 11 Agostose, 1840 go ile gwa tlišwa ke mošomo wa “Josiah” Litch ka 1838 le 1840. Ka 1863 metheo yeo e ile ya beelwa ka thoko, gomme “dinako tše šupago” tša fetoga seka e sego feela sa ditherešo tša motheo tša ba-Millerite ba Philadelphia, eupša gape ya ba seka sa borabele bja bo-Millerism bja Laodikia kgahlanong le metheo. Histori ya ba-Millerite ba morongwa wa pele le wa bobedi e na le seswantšho sa “Josiah,” seo se tlago go boeletšwa ka lengwalo le lengwe le le lengwe historing ya ba dikete tše lekgolo le masomenne-nne-nne. Leotwana la Josiah le boela morago go fihla boloing bja kgoši Saulo, gomme la tloga moo la ya go fihla go go hlatšwa ga kereke ya Laodikia ya Seventh-day Adventist molaong wa Sontaga. Leotwana la Josiah go Hesekiele bjale le mo tshepedišong ya go utollwa ge e le sehloa sa go swaiwa ga ba dikete tše lekgolo le masomenne-nne-nne.</w:t>
      </w:r>
    </w:p>
    <w:p>
      <w:pPr>
        <w:pStyle w:val="ArticleBody"/>
        <w:jc w:val="left"/>
      </w:pPr>
      <w:r>
        <w:rPr>
          <w:rFonts w:ascii="Times New Roman" w:hAnsi="Times New Roman" w:eastAsia="Times New Roman" w:cs="Times New Roman"/>
        </w:rPr>
        <w:t>Re tla tšwetša pele ditaba tše mo sengwalong se se latelago.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Leloko le le Fitlhegileng la Temana ya Masome a Manè—Palo ya Masome a Mabedi le Botlhano</dc:title>
  <dc:subject>Hezekiel Nomoro Six</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