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Joele le Kereke ya Masala ya Supa ya Laodisea - Nomoro ya Nngwe</w:t>
      </w:r>
    </w:p>
    <w:p>
      <w:pPr>
        <w:pStyle w:val="ArticleSubtitle"/>
        <w:jc w:val="left"/>
      </w:pPr>
      <w:r>
        <w:rPr>
          <w:rFonts w:ascii="Arial" w:hAnsi="Arial" w:eastAsia="Arial" w:cs="Arial"/>
        </w:rPr>
        <w:t>Kūm-adwene a ɛwɔ hɔ mprempren no ho sɔhwɛ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w:t>
      </w:r>
      <w:r>
        <w:rPr>
          <w:rFonts w:ascii="Nirmala UI" w:hAnsi="Nirmala UI" w:eastAsia="Nirmala UI" w:cs="Nirmala UI"/>
        </w:rPr>
        <w:t>බයිබලයේ</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ගැනීමට</w:t>
      </w:r>
      <w:r>
        <w:rPr>
          <w:rFonts w:ascii="Times New Roman" w:hAnsi="Times New Roman" w:eastAsia="Times New Roman" w:cs="Times New Roman"/>
        </w:rPr>
        <w:t xml:space="preserve"> </w:t>
      </w:r>
      <w:r>
        <w:rPr>
          <w:rFonts w:ascii="Nirmala UI" w:hAnsi="Nirmala UI" w:eastAsia="Nirmala UI" w:cs="Nirmala UI"/>
        </w:rPr>
        <w:t>දුෂ්කර</w:t>
      </w:r>
      <w:r>
        <w:rPr>
          <w:rFonts w:ascii="Times New Roman" w:hAnsi="Times New Roman" w:eastAsia="Times New Roman" w:cs="Times New Roman"/>
        </w:rPr>
        <w:t xml:space="preserve"> </w:t>
      </w:r>
      <w:r>
        <w:rPr>
          <w:rFonts w:ascii="Nirmala UI" w:hAnsi="Nirmala UI" w:eastAsia="Nirmala UI" w:cs="Nirmala UI"/>
        </w:rPr>
        <w:t>කාරණා</w:t>
      </w:r>
      <w:r>
        <w:rPr>
          <w:rFonts w:ascii="Times New Roman" w:hAnsi="Times New Roman" w:eastAsia="Times New Roman" w:cs="Times New Roman"/>
        </w:rPr>
        <w:t xml:space="preserve"> </w:t>
      </w:r>
      <w:r>
        <w:rPr>
          <w:rFonts w:ascii="Nirmala UI" w:hAnsi="Nirmala UI" w:eastAsia="Nirmala UI" w:cs="Nirmala UI"/>
        </w:rPr>
        <w:t>කිහිපයක්</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පේතුරුගේ</w:t>
      </w:r>
      <w:r>
        <w:rPr>
          <w:rFonts w:ascii="Times New Roman" w:hAnsi="Times New Roman" w:eastAsia="Times New Roman" w:cs="Times New Roman"/>
        </w:rPr>
        <w:t xml:space="preserve"> </w:t>
      </w:r>
      <w:r>
        <w:rPr>
          <w:rFonts w:ascii="Nirmala UI" w:hAnsi="Nirmala UI" w:eastAsia="Nirmala UI" w:cs="Nirmala UI"/>
        </w:rPr>
        <w:t>භාෂාව</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යාපනය</w:t>
      </w:r>
      <w:r>
        <w:rPr>
          <w:rFonts w:ascii="Times New Roman" w:hAnsi="Times New Roman" w:eastAsia="Times New Roman" w:cs="Times New Roman"/>
        </w:rPr>
        <w:t xml:space="preserve"> </w:t>
      </w:r>
      <w:r>
        <w:rPr>
          <w:rFonts w:ascii="Nirmala UI" w:hAnsi="Nirmala UI" w:eastAsia="Nirmala UI" w:cs="Nirmala UI"/>
        </w:rPr>
        <w:t>නොලත්</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අස්ථිර</w:t>
      </w:r>
      <w:r>
        <w:rPr>
          <w:rFonts w:ascii="Times New Roman" w:hAnsi="Times New Roman" w:eastAsia="Times New Roman" w:cs="Times New Roman"/>
        </w:rPr>
        <w:t xml:space="preserve"> </w:t>
      </w:r>
      <w:r>
        <w:rPr>
          <w:rFonts w:ascii="Nirmala UI" w:hAnsi="Nirmala UI" w:eastAsia="Nirmala UI" w:cs="Nirmala UI"/>
        </w:rPr>
        <w:t>වූවෝ</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තමන්ගේම</w:t>
      </w:r>
      <w:r>
        <w:rPr>
          <w:rFonts w:ascii="Times New Roman" w:hAnsi="Times New Roman" w:eastAsia="Times New Roman" w:cs="Times New Roman"/>
        </w:rPr>
        <w:t xml:space="preserve">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විකෘති</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ජීවිතයේදී</w:t>
      </w:r>
      <w:r>
        <w:rPr>
          <w:rFonts w:ascii="Times New Roman" w:hAnsi="Times New Roman" w:eastAsia="Times New Roman" w:cs="Times New Roman"/>
        </w:rPr>
        <w:t xml:space="preserve"> </w:t>
      </w:r>
      <w:r>
        <w:rPr>
          <w:rFonts w:ascii="Nirmala UI" w:hAnsi="Nirmala UI" w:eastAsia="Nirmala UI" w:cs="Nirmala UI"/>
        </w:rPr>
        <w:t>අපට</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ලියවිල්ලේ</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කොටසකම</w:t>
      </w:r>
      <w:r>
        <w:rPr>
          <w:rFonts w:ascii="Times New Roman" w:hAnsi="Times New Roman" w:eastAsia="Times New Roman" w:cs="Times New Roman"/>
        </w:rPr>
        <w:t xml:space="preserve"> </w:t>
      </w:r>
      <w:r>
        <w:rPr>
          <w:rFonts w:ascii="Nirmala UI" w:hAnsi="Nirmala UI" w:eastAsia="Nirmala UI" w:cs="Nirmala UI"/>
        </w:rPr>
        <w:t>අර්ථය</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රායෝගික</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ජීවිතාත්මක</w:t>
      </w:r>
      <w:r>
        <w:rPr>
          <w:rFonts w:ascii="Times New Roman" w:hAnsi="Times New Roman" w:eastAsia="Times New Roman" w:cs="Times New Roman"/>
        </w:rPr>
        <w:t xml:space="preserve"> </w:t>
      </w:r>
      <w:r>
        <w:rPr>
          <w:rFonts w:ascii="Nirmala UI" w:hAnsi="Nirmala UI" w:eastAsia="Nirmala UI" w:cs="Nirmala UI"/>
        </w:rPr>
        <w:t>කරුණු</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අභිරහසෙන්</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නොයනු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කාලයට</w:t>
      </w:r>
      <w:r>
        <w:rPr>
          <w:rFonts w:ascii="Times New Roman" w:hAnsi="Times New Roman" w:eastAsia="Times New Roman" w:cs="Times New Roman"/>
        </w:rPr>
        <w:t xml:space="preserve"> </w:t>
      </w:r>
      <w:r>
        <w:rPr>
          <w:rFonts w:ascii="Nirmala UI" w:hAnsi="Nirmala UI" w:eastAsia="Nirmala UI" w:cs="Nirmala UI"/>
        </w:rPr>
        <w:t>අදාල</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පිළිබඳව</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පරීක්ෂා</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රවිධානය</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ආත්මයාණන්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මනස්</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ලියවිලි</w:t>
      </w:r>
      <w:r>
        <w:rPr>
          <w:rFonts w:ascii="Times New Roman" w:hAnsi="Times New Roman" w:eastAsia="Times New Roman" w:cs="Times New Roman"/>
        </w:rPr>
        <w:t xml:space="preserve"> </w:t>
      </w:r>
      <w:r>
        <w:rPr>
          <w:rFonts w:ascii="Nirmala UI" w:hAnsi="Nirmala UI" w:eastAsia="Nirmala UI" w:cs="Nirmala UI"/>
        </w:rPr>
        <w:t>සොයමින්</w:t>
      </w:r>
      <w:r>
        <w:rPr>
          <w:rFonts w:ascii="Times New Roman" w:hAnsi="Times New Roman" w:eastAsia="Times New Roman" w:cs="Times New Roman"/>
        </w:rPr>
        <w:t xml:space="preserve"> </w:t>
      </w:r>
      <w:r>
        <w:rPr>
          <w:rFonts w:ascii="Nirmala UI" w:hAnsi="Nirmala UI" w:eastAsia="Nirmala UI" w:cs="Nirmala UI"/>
        </w:rPr>
        <w:t>පරීක්ෂා</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රබෝධ</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w:t>
      </w:r>
      <w:r>
        <w:rPr>
          <w:rFonts w:ascii="Nirmala UI" w:hAnsi="Nirmala UI" w:eastAsia="Nirmala UI" w:cs="Nirmala UI"/>
        </w:rPr>
        <w:t>උපවාසය</w:t>
      </w:r>
      <w:r>
        <w:rPr>
          <w:rFonts w:ascii="Times New Roman" w:hAnsi="Times New Roman" w:eastAsia="Times New Roman" w:cs="Times New Roman"/>
        </w:rPr>
        <w:t xml:space="preserve"> </w:t>
      </w:r>
      <w:r>
        <w:rPr>
          <w:rFonts w:ascii="Nirmala UI" w:hAnsi="Nirmala UI" w:eastAsia="Nirmala UI" w:cs="Nirmala UI"/>
        </w:rPr>
        <w:t>සමඟද</w:t>
      </w:r>
      <w:r>
        <w:rPr>
          <w:rFonts w:ascii="Times New Roman" w:hAnsi="Times New Roman" w:eastAsia="Times New Roman" w:cs="Times New Roman"/>
        </w:rPr>
        <w:t xml:space="preserve"> </w:t>
      </w:r>
      <w:r>
        <w:rPr>
          <w:rFonts w:ascii="Nirmala UI" w:hAnsi="Nirmala UI" w:eastAsia="Nirmala UI" w:cs="Nirmala UI"/>
        </w:rPr>
        <w:t>යාච්ඤාව</w:t>
      </w:r>
      <w:r>
        <w:rPr>
          <w:rFonts w:ascii="Times New Roman" w:hAnsi="Times New Roman" w:eastAsia="Times New Roman" w:cs="Times New Roman"/>
        </w:rPr>
        <w:t xml:space="preserve"> </w:t>
      </w:r>
      <w:r>
        <w:rPr>
          <w:rFonts w:ascii="Nirmala UI" w:hAnsi="Nirmala UI" w:eastAsia="Nirmala UI" w:cs="Nirmala UI"/>
        </w:rPr>
        <w:t>සමඟද</w:t>
      </w:r>
      <w:r>
        <w:rPr>
          <w:rFonts w:ascii="Times New Roman" w:hAnsi="Times New Roman" w:eastAsia="Times New Roman" w:cs="Times New Roman"/>
        </w:rPr>
        <w:t>—</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සම්බන්ධකයෙන්</w:t>
      </w:r>
      <w:r>
        <w:rPr>
          <w:rFonts w:ascii="Times New Roman" w:hAnsi="Times New Roman" w:eastAsia="Times New Roman" w:cs="Times New Roman"/>
        </w:rPr>
        <w:t xml:space="preserve"> </w:t>
      </w:r>
      <w:r>
        <w:rPr>
          <w:rFonts w:ascii="Nirmala UI" w:hAnsi="Nirmala UI" w:eastAsia="Nirmala UI" w:cs="Nirmala UI"/>
        </w:rPr>
        <w:t>සම්බන්ධකය</w:t>
      </w:r>
      <w:r>
        <w:rPr>
          <w:rFonts w:ascii="Times New Roman" w:hAnsi="Times New Roman" w:eastAsia="Times New Roman" w:cs="Times New Roman"/>
        </w:rPr>
        <w:t xml:space="preserve"> </w:t>
      </w:r>
      <w:r>
        <w:rPr>
          <w:rFonts w:ascii="Nirmala UI" w:hAnsi="Nirmala UI" w:eastAsia="Nirmala UI" w:cs="Nirmala UI"/>
        </w:rPr>
        <w:t>සොයාගෙන</w:t>
      </w:r>
      <w:r>
        <w:rPr>
          <w:rFonts w:ascii="Times New Roman" w:hAnsi="Times New Roman" w:eastAsia="Times New Roman" w:cs="Times New Roman"/>
        </w:rPr>
        <w:t xml:space="preserve">, </w:t>
      </w:r>
      <w:r>
        <w:rPr>
          <w:rFonts w:ascii="Nirmala UI" w:hAnsi="Nirmala UI" w:eastAsia="Nirmala UI" w:cs="Nirmala UI"/>
        </w:rPr>
        <w:t>පරිපූර්ණ</w:t>
      </w:r>
      <w:r>
        <w:rPr>
          <w:rFonts w:ascii="Times New Roman" w:hAnsi="Times New Roman" w:eastAsia="Times New Roman" w:cs="Times New Roman"/>
        </w:rPr>
        <w:t xml:space="preserve"> </w:t>
      </w:r>
      <w:r>
        <w:rPr>
          <w:rFonts w:ascii="Nirmala UI" w:hAnsi="Nirmala UI" w:eastAsia="Nirmala UI" w:cs="Nirmala UI"/>
        </w:rPr>
        <w:t>දාමයක්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එකට</w:t>
      </w:r>
      <w:r>
        <w:rPr>
          <w:rFonts w:ascii="Times New Roman" w:hAnsi="Times New Roman" w:eastAsia="Times New Roman" w:cs="Times New Roman"/>
        </w:rPr>
        <w:t xml:space="preserve"> </w:t>
      </w:r>
      <w:r>
        <w:rPr>
          <w:rFonts w:ascii="Nirmala UI" w:hAnsi="Nirmala UI" w:eastAsia="Nirmala UI" w:cs="Nirmala UI"/>
        </w:rPr>
        <w:t>බැඳෙන</w:t>
      </w:r>
      <w:r>
        <w:rPr>
          <w:rFonts w:ascii="Times New Roman" w:hAnsi="Times New Roman" w:eastAsia="Times New Roman" w:cs="Times New Roman"/>
        </w:rPr>
        <w:t xml:space="preserve"> </w:t>
      </w:r>
      <w:r>
        <w:rPr>
          <w:rFonts w:ascii="Nirmala UI" w:hAnsi="Nirmala UI" w:eastAsia="Nirmala UI" w:cs="Nirmala UI"/>
        </w:rPr>
        <w:t>තෙක්</w:t>
      </w:r>
      <w:r>
        <w:rPr>
          <w:rFonts w:ascii="Times New Roman" w:hAnsi="Times New Roman" w:eastAsia="Times New Roman" w:cs="Times New Roman"/>
        </w:rPr>
        <w:t xml:space="preserve">. </w:t>
      </w:r>
      <w:r>
        <w:rPr>
          <w:rFonts w:ascii="Nirmala UI" w:hAnsi="Nirmala UI" w:eastAsia="Nirmala UI" w:cs="Nirmala UI"/>
        </w:rPr>
        <w:t>ආත්මයන්ගේ</w:t>
      </w:r>
      <w:r>
        <w:rPr>
          <w:rFonts w:ascii="Times New Roman" w:hAnsi="Times New Roman" w:eastAsia="Times New Roman" w:cs="Times New Roman"/>
        </w:rPr>
        <w:t xml:space="preserve"> </w:t>
      </w:r>
      <w:r>
        <w:rPr>
          <w:rFonts w:ascii="Nirmala UI" w:hAnsi="Nirmala UI" w:eastAsia="Nirmala UI" w:cs="Nirmala UI"/>
        </w:rPr>
        <w:t>ගැළවීම</w:t>
      </w:r>
      <w:r>
        <w:rPr>
          <w:rFonts w:ascii="Times New Roman" w:hAnsi="Times New Roman" w:eastAsia="Times New Roman" w:cs="Times New Roman"/>
        </w:rPr>
        <w:t xml:space="preserve"> </w:t>
      </w:r>
      <w:r>
        <w:rPr>
          <w:rFonts w:ascii="Nirmala UI" w:hAnsi="Nirmala UI" w:eastAsia="Nirmala UI" w:cs="Nirmala UI"/>
        </w:rPr>
        <w:t>සම්බන්ධයෙන්</w:t>
      </w:r>
      <w:r>
        <w:rPr>
          <w:rFonts w:ascii="Times New Roman" w:hAnsi="Times New Roman" w:eastAsia="Times New Roman" w:cs="Times New Roman"/>
        </w:rPr>
        <w:t xml:space="preserve"> </w:t>
      </w:r>
      <w:r>
        <w:rPr>
          <w:rFonts w:ascii="Nirmala UI" w:hAnsi="Nirmala UI" w:eastAsia="Nirmala UI" w:cs="Nirmala UI"/>
        </w:rPr>
        <w:t>සෘජුව</w:t>
      </w:r>
      <w:r>
        <w:rPr>
          <w:rFonts w:ascii="Times New Roman" w:hAnsi="Times New Roman" w:eastAsia="Times New Roman" w:cs="Times New Roman"/>
        </w:rPr>
        <w:t xml:space="preserve"> </w:t>
      </w:r>
      <w:r>
        <w:rPr>
          <w:rFonts w:ascii="Nirmala UI" w:hAnsi="Nirmala UI" w:eastAsia="Nirmala UI" w:cs="Nirmala UI"/>
        </w:rPr>
        <w:t>අදාල</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යයක්ම</w:t>
      </w:r>
      <w:r>
        <w:rPr>
          <w:rFonts w:ascii="Times New Roman" w:hAnsi="Times New Roman" w:eastAsia="Times New Roman" w:cs="Times New Roman"/>
        </w:rPr>
        <w:t xml:space="preserve"> </w:t>
      </w:r>
      <w:r>
        <w:rPr>
          <w:rFonts w:ascii="Nirmala UI" w:hAnsi="Nirmala UI" w:eastAsia="Nirmala UI" w:cs="Nirmala UI"/>
        </w:rPr>
        <w:t>කිසිවෙකුත්</w:t>
      </w:r>
      <w:r>
        <w:rPr>
          <w:rFonts w:ascii="Times New Roman" w:hAnsi="Times New Roman" w:eastAsia="Times New Roman" w:cs="Times New Roman"/>
        </w:rPr>
        <w:t xml:space="preserve"> </w:t>
      </w:r>
      <w:r>
        <w:rPr>
          <w:rFonts w:ascii="Nirmala UI" w:hAnsi="Nirmala UI" w:eastAsia="Nirmala UI" w:cs="Nirmala UI"/>
        </w:rPr>
        <w:t>වැරදීමට</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අන්ධකාරයේ</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ඉතා</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श्रृंखलालाई</w:t>
      </w:r>
      <w:r>
        <w:rPr>
          <w:rFonts w:ascii="Times New Roman" w:hAnsi="Times New Roman" w:eastAsia="Times New Roman" w:cs="Times New Roman"/>
        </w:rPr>
        <w:t xml:space="preserve"> </w:t>
      </w:r>
      <w:r>
        <w:rPr>
          <w:rFonts w:ascii="Nirmala UI" w:hAnsi="Nirmala UI" w:eastAsia="Nirmala UI" w:cs="Nirmala UI"/>
        </w:rPr>
        <w:t>पछ्याउँदै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उपभोग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विशेषाधिकारहरूका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मार्गमा</w:t>
      </w:r>
      <w:r>
        <w:rPr>
          <w:rFonts w:ascii="Times New Roman" w:hAnsi="Times New Roman" w:eastAsia="Times New Roman" w:cs="Times New Roman"/>
        </w:rPr>
        <w:t xml:space="preserve"> </w:t>
      </w:r>
      <w:r>
        <w:rPr>
          <w:rFonts w:ascii="Nirmala UI" w:hAnsi="Nirmala UI" w:eastAsia="Nirmala UI" w:cs="Nirmala UI"/>
        </w:rPr>
        <w:t>चम्कने</w:t>
      </w:r>
      <w:r>
        <w:rPr>
          <w:rFonts w:ascii="Times New Roman" w:hAnsi="Times New Roman" w:eastAsia="Times New Roman" w:cs="Times New Roman"/>
        </w:rPr>
        <w:t xml:space="preserve"> </w:t>
      </w:r>
      <w:r>
        <w:rPr>
          <w:rFonts w:ascii="Nirmala UI" w:hAnsi="Nirmala UI" w:eastAsia="Nirmala UI" w:cs="Nirmala UI"/>
        </w:rPr>
        <w:t>ज्योतिका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उत्तरदायी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विगतका</w:t>
      </w:r>
      <w:r>
        <w:rPr>
          <w:rFonts w:ascii="Times New Roman" w:hAnsi="Times New Roman" w:eastAsia="Times New Roman" w:cs="Times New Roman"/>
        </w:rPr>
        <w:t xml:space="preserve"> </w:t>
      </w:r>
      <w:r>
        <w:rPr>
          <w:rFonts w:ascii="Nirmala UI" w:hAnsi="Nirmala UI" w:eastAsia="Nirmala UI" w:cs="Nirmala UI"/>
        </w:rPr>
        <w:t>पुस्ताहरूमा</w:t>
      </w:r>
      <w:r>
        <w:rPr>
          <w:rFonts w:ascii="Times New Roman" w:hAnsi="Times New Roman" w:eastAsia="Times New Roman" w:cs="Times New Roman"/>
        </w:rPr>
        <w:t xml:space="preserve"> </w:t>
      </w:r>
      <w:r>
        <w:rPr>
          <w:rFonts w:ascii="Nirmala UI" w:hAnsi="Nirmala UI" w:eastAsia="Nirmala UI" w:cs="Nirmala UI"/>
        </w:rPr>
        <w:t>बाँच्नेहरू</w:t>
      </w:r>
      <w:r>
        <w:rPr>
          <w:rFonts w:ascii="Times New Roman" w:hAnsi="Times New Roman" w:eastAsia="Times New Roman" w:cs="Times New Roman"/>
        </w:rPr>
        <w:t xml:space="preserve"> </w:t>
      </w:r>
      <w:r>
        <w:rPr>
          <w:rFonts w:ascii="Nirmala UI" w:hAnsi="Nirmala UI" w:eastAsia="Nirmala UI" w:cs="Nirmala UI"/>
        </w:rPr>
        <w:t>तिनीहरूमाथि</w:t>
      </w:r>
      <w:r>
        <w:rPr>
          <w:rFonts w:ascii="Times New Roman" w:hAnsi="Times New Roman" w:eastAsia="Times New Roman" w:cs="Times New Roman"/>
        </w:rPr>
        <w:t xml:space="preserve"> </w:t>
      </w:r>
      <w:r>
        <w:rPr>
          <w:rFonts w:ascii="Nirmala UI" w:hAnsi="Nirmala UI" w:eastAsia="Nirmala UI" w:cs="Nirmala UI"/>
        </w:rPr>
        <w:t>चम्कन</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ज्योतिका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उत्तरदायी</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धर्मशास्त्रका</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बुँदाहरूका</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गर्थे</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अभ्यासित</w:t>
      </w:r>
      <w:r>
        <w:rPr>
          <w:rFonts w:ascii="Times New Roman" w:hAnsi="Times New Roman" w:eastAsia="Times New Roman" w:cs="Times New Roman"/>
        </w:rPr>
        <w:t xml:space="preserve"> </w:t>
      </w:r>
      <w:r>
        <w:rPr>
          <w:rFonts w:ascii="Nirmala UI" w:hAnsi="Nirmala UI" w:eastAsia="Nirmala UI" w:cs="Nirmala UI"/>
        </w:rPr>
        <w:t>गरिन्थ्यो।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बुझेनन्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बुझ्छौँ।</w:t>
      </w:r>
      <w:r>
        <w:rPr>
          <w:rFonts w:ascii="Times New Roman" w:hAnsi="Times New Roman" w:eastAsia="Times New Roman" w:cs="Times New Roman"/>
        </w:rPr>
        <w:t xml:space="preserve"> </w:t>
      </w:r>
      <w:r>
        <w:rPr>
          <w:rFonts w:ascii="Nirmala UI" w:hAnsi="Nirmala UI" w:eastAsia="Nirmala UI" w:cs="Nirmala UI"/>
        </w:rPr>
        <w:t>तिनीहरूसँग</w:t>
      </w:r>
      <w:r>
        <w:rPr>
          <w:rFonts w:ascii="Times New Roman" w:hAnsi="Times New Roman" w:eastAsia="Times New Roman" w:cs="Times New Roman"/>
        </w:rPr>
        <w:t xml:space="preserve"> </w:t>
      </w:r>
      <w:r>
        <w:rPr>
          <w:rFonts w:ascii="Nirmala UI" w:hAnsi="Nirmala UI" w:eastAsia="Nirmala UI" w:cs="Nirmala UI"/>
        </w:rPr>
        <w:t>नभएको</w:t>
      </w:r>
      <w:r>
        <w:rPr>
          <w:rFonts w:ascii="Times New Roman" w:hAnsi="Times New Roman" w:eastAsia="Times New Roman" w:cs="Times New Roman"/>
        </w:rPr>
        <w:t xml:space="preserve"> </w:t>
      </w:r>
      <w:r>
        <w:rPr>
          <w:rFonts w:ascii="Nirmala UI" w:hAnsi="Nirmala UI" w:eastAsia="Nirmala UI" w:cs="Nirmala UI"/>
        </w:rPr>
        <w:t>ज्योतिका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जिम्मेवार</w:t>
      </w:r>
      <w:r>
        <w:rPr>
          <w:rFonts w:ascii="Times New Roman" w:hAnsi="Times New Roman" w:eastAsia="Times New Roman" w:cs="Times New Roman"/>
        </w:rPr>
        <w:t xml:space="preserve"> </w:t>
      </w:r>
      <w:r>
        <w:rPr>
          <w:rFonts w:ascii="Nirmala UI" w:hAnsi="Nirmala UI" w:eastAsia="Nirmala UI" w:cs="Nirmala UI"/>
        </w:rPr>
        <w:t>थिएनन्।</w:t>
      </w:r>
      <w:r>
        <w:rPr>
          <w:rFonts w:ascii="Times New Roman" w:hAnsi="Times New Roman" w:eastAsia="Times New Roman" w:cs="Times New Roman"/>
        </w:rPr>
        <w:t xml:space="preserve"> </w:t>
      </w:r>
      <w:r>
        <w:rPr>
          <w:rFonts w:ascii="Nirmala UI" w:hAnsi="Nirmala UI" w:eastAsia="Nirmala UI" w:cs="Nirmala UI"/>
        </w:rPr>
        <w:t>तिनीहरूसँग</w:t>
      </w:r>
      <w:r>
        <w:rPr>
          <w:rFonts w:ascii="Times New Roman" w:hAnsi="Times New Roman" w:eastAsia="Times New Roman" w:cs="Times New Roman"/>
        </w:rPr>
        <w:t xml:space="preserve">, </w:t>
      </w:r>
      <w:r>
        <w:rPr>
          <w:rFonts w:ascii="Nirmala UI" w:hAnsi="Nirmala UI" w:eastAsia="Nirmala UI" w:cs="Nirmala UI"/>
        </w:rPr>
        <w:t>हामीसँग</w:t>
      </w:r>
      <w:r>
        <w:rPr>
          <w:rFonts w:ascii="Times New Roman" w:hAnsi="Times New Roman" w:eastAsia="Times New Roman" w:cs="Times New Roman"/>
        </w:rPr>
        <w:t xml:space="preserve"> </w:t>
      </w:r>
      <w:r>
        <w:rPr>
          <w:rFonts w:ascii="Nirmala UI" w:hAnsi="Nirmala UI" w:eastAsia="Nirmala UI" w:cs="Nirmala UI"/>
        </w:rPr>
        <w:t>भएझैँ</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दृश्यहरूसँग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उद्घाटन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पुस्ताहरूको</w:t>
      </w:r>
      <w:r>
        <w:rPr>
          <w:rFonts w:ascii="Times New Roman" w:hAnsi="Times New Roman" w:eastAsia="Times New Roman" w:cs="Times New Roman"/>
        </w:rPr>
        <w:t xml:space="preserve"> </w:t>
      </w:r>
      <w:r>
        <w:rPr>
          <w:rFonts w:ascii="Nirmala UI" w:hAnsi="Nirmala UI" w:eastAsia="Nirmala UI" w:cs="Nirmala UI"/>
        </w:rPr>
        <w:t>कालमा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पृथ्वीमाथि</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रहनेछन्।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“Imiqondo ekhethekile iye yalungelaniswa nezimo zezizukulwane njengoba bezikhona. Iqiniso lamanje, eliyisivivinyo kubantu balesi sizukulwane, belingesona isivivinyo kubantu bezizukulwane zasemandulo kakhulu. Ukuba ukukhanya okukhanya phezu kwethu manje maqondana neSabatha yomthetho wesine kwakunikezwe izizukulwane zesikhathi esedlule, uNkulunkulu wayeyobabeka icala ngalokho kukhanya.” Testimonies, volume 2, 692, 693.</w:t>
      </w:r>
    </w:p>
    <w:p>
      <w:pPr>
        <w:pStyle w:val="ArticleHeading"/>
        <w:jc w:val="left"/>
      </w:pPr>
      <w:r>
        <w:rPr>
          <w:rFonts w:ascii="Arial" w:hAnsi="Arial" w:eastAsia="Arial" w:cs="Arial"/>
        </w:rPr>
        <w:t>Ba Baebele le e Kgologolo</w:t>
      </w:r>
    </w:p>
    <w:p>
      <w:pPr>
        <w:pStyle w:val="ArticleScripture"/>
        <w:jc w:val="left"/>
      </w:pPr>
      <w:r>
        <w:rPr>
          <w:rFonts w:ascii="Times New Roman" w:hAnsi="Times New Roman" w:eastAsia="Times New Roman" w:cs="Times New Roman"/>
        </w:rPr>
        <w:t>“Dalam setiap zaman ada perkembangan baru dari kebenaran, suatu pekabaran dari Allah kepada umat pada generasi itu. Kebenaran-kebenaran lama semuanya hakiki; kebenaran baru tidak berdiri sendiri terlepas dari yang lama, melainkan merupakan penyingkapan daripadanya. Hanya apabila kebenaran-kebenaran lama dipahami barulah kita dapat mengerti yang baru. Ketika Kristus hendak membukakan kepada murid-murid-Nya kebenaran tentang kebangkitan-Nya, Ia memulai ‘dari Musa dan segala nabi’ lalu ‘menerangkan kepada mereka dalam seluruh Kitab Suci segala sesuatu yang tertulis tentang diri-Nya.’ Lukas 24:27. Tetapi terang yang bercahaya dalam penyingkapan baru kebenaran itulah yang memuliakan yang lama. Barangsiapa menolak atau mengabaikan yang baru, sesungguhnya tidak memiliki yang lama. Baginya, yang lama kehilangan kuasa hidupnya dan menjadi hanya suatu bentuk yang mati.”</w:t>
      </w:r>
    </w:p>
    <w:p>
      <w:pPr>
        <w:pStyle w:val="ArticleScripture"/>
        <w:jc w:val="left"/>
      </w:pPr>
      <w:r>
        <w:rPr>
          <w:rFonts w:ascii="Times New Roman" w:hAnsi="Times New Roman" w:eastAsia="Times New Roman" w:cs="Times New Roman"/>
        </w:rPr>
        <w:t>“Go na le bao ba ipolelang gore ba a dumela e bile ba ruta boammaaruri jwa Testamente e Kgologolo, fa ka nako e tshwanang ba gana e Ntšhwa. Mme ka go gana go amogela dithuto tsa ga Keresete, ba bontsha gore ga ba dumele se bapatriarke le baporofeti ba se buileng. ‘Fa lo ka bo lo dumela Moshe,’ Keresete a rialo, ‘lo ka bo lo dumetse le Nna; gonne o ne a kwala ka ga Me.’ Johane 5:46. Ka jalo, ga go na maatla a mmatota mo thutong ya bone le ka ga Testamente e Kgologolo.”</w:t>
      </w:r>
    </w:p>
    <w:p>
      <w:pPr>
        <w:pStyle w:val="ArticleScripture"/>
        <w:jc w:val="left"/>
      </w:pPr>
      <w:r>
        <w:rPr>
          <w:rFonts w:ascii="Times New Roman" w:hAnsi="Times New Roman" w:eastAsia="Times New Roman" w:cs="Times New Roman"/>
        </w:rPr>
        <w:t>“Ɔkoo foo a wɔka sɛ wogye di na wɔkyerɛkyerɛ asɛmpa no wɔ mfomso koro bi mu saa ara. Wɔde Apam Dedaw no Kyerɛwsɛm no to nkyɛn, a Kristo kaa ho asɛm sɛ, ‘Ɛno ne adansefo a wɔdi Me ho adanse no.’ Yohane 5:39. Bere a wɔpo Dedaw no, nokware mu no, wɔpo Foforo no nso; efisɛ ne nyinaa yɛ adekuro biako a wontumi ntetew mu. Obiara rentumi mfa Onyankopɔn mmara nkyerɛkyerɛ yiye a asɛmpa nka ho, anaa asɛmpa no a mmara nka ho. Mmara no ne asɛmpa a wɔde honam ahyɛ no mu, na asɛmpa no ne mmara a wɔatrɛw mu ada no adi. Mmara no ne ntini no, asɛmpa no ne nhwiren a ɛyɛ huam ne aba a ɛsow no.”</w:t>
      </w:r>
    </w:p>
    <w:p>
      <w:pPr>
        <w:pStyle w:val="ArticleScripture"/>
        <w:jc w:val="left"/>
      </w:pPr>
      <w:r>
        <w:rPr>
          <w:rFonts w:ascii="Times New Roman" w:hAnsi="Times New Roman" w:eastAsia="Times New Roman" w:cs="Times New Roman"/>
        </w:rPr>
        <w:t>“Perjanjian Lama menerangi Perjanjian Baru, dan Perjanjian Baru menerangi Perjanjian Lama. Masing-masing merupakan penyataan kemuliaan Allah dalam Kristus. Keduanya menyajikan kebenaran-kebenaran yang akan terus-menerus menyingkapkan kedalaman makna yang baru kepada para pencari yang sungguh-sungguh.” Christ’s Object Lessons, 128.</w:t>
      </w:r>
    </w:p>
    <w:p>
      <w:pPr>
        <w:pStyle w:val="ArticleBody"/>
        <w:jc w:val="left"/>
      </w:pPr>
      <w:r>
        <w:rPr>
          <w:rFonts w:ascii="Leelawadee UI" w:hAnsi="Leelawadee UI" w:eastAsia="Leelawadee UI" w:cs="Leelawadee UI"/>
        </w:rPr>
        <w:t>ความจริงปัจจุบัน</w:t>
      </w:r>
      <w:r>
        <w:rPr>
          <w:rFonts w:ascii="Times New Roman" w:hAnsi="Times New Roman" w:eastAsia="Times New Roman" w:cs="Times New Roman"/>
        </w:rPr>
        <w:t xml:space="preserve"> </w:t>
      </w:r>
      <w:r>
        <w:rPr>
          <w:rFonts w:ascii="Leelawadee UI" w:hAnsi="Leelawadee UI" w:eastAsia="Leelawadee UI" w:cs="Leelawadee UI"/>
        </w:rPr>
        <w:t>ตามคำนิยาม</w:t>
      </w:r>
      <w:r>
        <w:rPr>
          <w:rFonts w:ascii="Times New Roman" w:hAnsi="Times New Roman" w:eastAsia="Times New Roman" w:cs="Times New Roman"/>
        </w:rPr>
        <w:t xml:space="preserve"> </w:t>
      </w:r>
      <w:r>
        <w:rPr>
          <w:rFonts w:ascii="Leelawadee UI" w:hAnsi="Leelawadee UI" w:eastAsia="Leelawadee UI" w:cs="Leelawadee UI"/>
        </w:rPr>
        <w:t>คือ</w:t>
      </w:r>
      <w:r>
        <w:rPr>
          <w:rFonts w:ascii="Times New Roman" w:hAnsi="Times New Roman" w:eastAsia="Times New Roman" w:cs="Times New Roman"/>
        </w:rPr>
        <w:t xml:space="preserve"> “</w:t>
      </w:r>
      <w:r>
        <w:rPr>
          <w:rFonts w:ascii="Leelawadee UI" w:hAnsi="Leelawadee UI" w:eastAsia="Leelawadee UI" w:cs="Leelawadee UI"/>
        </w:rPr>
        <w:t>ความจริงที่ทรงสำแดง</w:t>
      </w:r>
      <w:r>
        <w:rPr>
          <w:rFonts w:ascii="Times New Roman" w:hAnsi="Times New Roman" w:eastAsia="Times New Roman" w:cs="Times New Roman"/>
        </w:rPr>
        <w:t xml:space="preserve">” </w:t>
      </w:r>
      <w:r>
        <w:rPr>
          <w:rFonts w:ascii="Leelawadee UI" w:hAnsi="Leelawadee UI" w:eastAsia="Leelawadee UI" w:cs="Leelawadee UI"/>
        </w:rPr>
        <w:t>สำหรับช่วงเวลาเฉพาะหนึ่ง</w:t>
      </w:r>
      <w:r>
        <w:rPr>
          <w:rFonts w:ascii="Times New Roman" w:hAnsi="Times New Roman" w:eastAsia="Times New Roman" w:cs="Times New Roman"/>
        </w:rPr>
        <w:t xml:space="preserve"> </w:t>
      </w:r>
      <w:r>
        <w:rPr>
          <w:rFonts w:ascii="Leelawadee UI" w:hAnsi="Leelawadee UI" w:eastAsia="Leelawadee UI" w:cs="Leelawadee UI"/>
        </w:rPr>
        <w:t>ซึ่ง</w:t>
      </w:r>
      <w:r>
        <w:rPr>
          <w:rFonts w:ascii="Times New Roman" w:hAnsi="Times New Roman" w:eastAsia="Times New Roman" w:cs="Times New Roman"/>
        </w:rPr>
        <w:t xml:space="preserve"> “</w:t>
      </w:r>
      <w:r>
        <w:rPr>
          <w:rFonts w:ascii="Leelawadee UI" w:hAnsi="Leelawadee UI" w:eastAsia="Leelawadee UI" w:cs="Leelawadee UI"/>
        </w:rPr>
        <w:t>มองเห็นได้อย่างชัดเจนและได้รับการอธิบายแล้ว</w:t>
      </w:r>
      <w:r>
        <w:rPr>
          <w:rFonts w:ascii="Times New Roman" w:hAnsi="Times New Roman" w:eastAsia="Times New Roman" w:cs="Times New Roman"/>
        </w:rPr>
        <w:t xml:space="preserve">” </w:t>
      </w:r>
      <w:r>
        <w:rPr>
          <w:rFonts w:ascii="Leelawadee UI" w:hAnsi="Leelawadee UI" w:eastAsia="Leelawadee UI" w:cs="Leelawadee UI"/>
        </w:rPr>
        <w:t>ชนรุ่นที่มีชีวิตอยู่ในเวลาที่</w:t>
      </w:r>
      <w:r>
        <w:rPr>
          <w:rFonts w:ascii="Times New Roman" w:hAnsi="Times New Roman" w:eastAsia="Times New Roman" w:cs="Times New Roman"/>
        </w:rPr>
        <w:t xml:space="preserve"> “</w:t>
      </w:r>
      <w:r>
        <w:rPr>
          <w:rFonts w:ascii="Leelawadee UI" w:hAnsi="Leelawadee UI" w:eastAsia="Leelawadee UI" w:cs="Leelawadee UI"/>
        </w:rPr>
        <w:t>ความจริงปัจจุบัน</w:t>
      </w:r>
      <w:r>
        <w:rPr>
          <w:rFonts w:ascii="Times New Roman" w:hAnsi="Times New Roman" w:eastAsia="Times New Roman" w:cs="Times New Roman"/>
        </w:rPr>
        <w:t xml:space="preserve">” </w:t>
      </w:r>
      <w:r>
        <w:rPr>
          <w:rFonts w:ascii="Leelawadee UI" w:hAnsi="Leelawadee UI" w:eastAsia="Leelawadee UI" w:cs="Leelawadee UI"/>
        </w:rPr>
        <w:t>ถูกสำแดงนั้น</w:t>
      </w:r>
      <w:r>
        <w:rPr>
          <w:rFonts w:ascii="Times New Roman" w:hAnsi="Times New Roman" w:eastAsia="Times New Roman" w:cs="Times New Roman"/>
        </w:rPr>
        <w:t xml:space="preserve"> </w:t>
      </w:r>
      <w:r>
        <w:rPr>
          <w:rFonts w:ascii="Leelawadee UI" w:hAnsi="Leelawadee UI" w:eastAsia="Leelawadee UI" w:cs="Leelawadee UI"/>
        </w:rPr>
        <w:t>ถูกถือว่า</w:t>
      </w:r>
      <w:r>
        <w:rPr>
          <w:rFonts w:ascii="Times New Roman" w:hAnsi="Times New Roman" w:eastAsia="Times New Roman" w:cs="Times New Roman"/>
        </w:rPr>
        <w:t xml:space="preserve"> “</w:t>
      </w:r>
      <w:r>
        <w:rPr>
          <w:rFonts w:ascii="Leelawadee UI" w:hAnsi="Leelawadee UI" w:eastAsia="Leelawadee UI" w:cs="Leelawadee UI"/>
        </w:rPr>
        <w:t>ต้องรับผิดชอบ</w:t>
      </w:r>
      <w:r>
        <w:rPr>
          <w:rFonts w:ascii="Times New Roman" w:hAnsi="Times New Roman" w:eastAsia="Times New Roman" w:cs="Times New Roman"/>
        </w:rPr>
        <w:t xml:space="preserve">” </w:t>
      </w:r>
      <w:r>
        <w:rPr>
          <w:rFonts w:ascii="Leelawadee UI" w:hAnsi="Leelawadee UI" w:eastAsia="Leelawadee UI" w:cs="Leelawadee UI"/>
        </w:rPr>
        <w:t>ที่จะยอมรับความจริงนั้น</w:t>
      </w:r>
      <w:r>
        <w:rPr>
          <w:rFonts w:ascii="Times New Roman" w:hAnsi="Times New Roman" w:eastAsia="Times New Roman" w:cs="Times New Roman"/>
        </w:rPr>
        <w:t xml:space="preserve"> </w:t>
      </w:r>
      <w:r>
        <w:rPr>
          <w:rFonts w:ascii="Leelawadee UI" w:hAnsi="Leelawadee UI" w:eastAsia="Leelawadee UI" w:cs="Leelawadee UI"/>
        </w:rPr>
        <w:t>มิฉะนั้นก็ต้องตาย</w:t>
      </w:r>
      <w:r>
        <w:rPr>
          <w:rFonts w:ascii="Times New Roman" w:hAnsi="Times New Roman" w:eastAsia="Times New Roman" w:cs="Times New Roman"/>
        </w:rPr>
        <w:t xml:space="preserve"> </w:t>
      </w:r>
      <w:r>
        <w:rPr>
          <w:rFonts w:ascii="Leelawadee UI" w:hAnsi="Leelawadee UI" w:eastAsia="Leelawadee UI" w:cs="Leelawadee UI"/>
        </w:rPr>
        <w:t>ความจริงทั้งหลายที่ประกอบรวมกันเป็น</w:t>
      </w:r>
      <w:r>
        <w:rPr>
          <w:rFonts w:ascii="Times New Roman" w:hAnsi="Times New Roman" w:eastAsia="Times New Roman" w:cs="Times New Roman"/>
        </w:rPr>
        <w:t xml:space="preserve"> “</w:t>
      </w:r>
      <w:r>
        <w:rPr>
          <w:rFonts w:ascii="Leelawadee UI" w:hAnsi="Leelawadee UI" w:eastAsia="Leelawadee UI" w:cs="Leelawadee UI"/>
        </w:rPr>
        <w:t>ความจริงสำหรับการทดสอบในปัจจุบัน</w:t>
      </w:r>
      <w:r>
        <w:rPr>
          <w:rFonts w:ascii="Times New Roman" w:hAnsi="Times New Roman" w:eastAsia="Times New Roman" w:cs="Times New Roman"/>
        </w:rPr>
        <w:t xml:space="preserve">” </w:t>
      </w:r>
      <w:r>
        <w:rPr>
          <w:rFonts w:ascii="Leelawadee UI" w:hAnsi="Leelawadee UI" w:eastAsia="Leelawadee UI" w:cs="Leelawadee UI"/>
        </w:rPr>
        <w:t>สำหรับ</w:t>
      </w:r>
      <w:r>
        <w:rPr>
          <w:rFonts w:ascii="Times New Roman" w:hAnsi="Times New Roman" w:eastAsia="Times New Roman" w:cs="Times New Roman"/>
        </w:rPr>
        <w:t xml:space="preserve"> “</w:t>
      </w:r>
      <w:r>
        <w:rPr>
          <w:rFonts w:ascii="Leelawadee UI" w:hAnsi="Leelawadee UI" w:eastAsia="Leelawadee UI" w:cs="Leelawadee UI"/>
        </w:rPr>
        <w:t>ชนรุ่นนี้</w:t>
      </w:r>
      <w:r>
        <w:rPr>
          <w:rFonts w:ascii="Times New Roman" w:hAnsi="Times New Roman" w:eastAsia="Times New Roman" w:cs="Times New Roman"/>
        </w:rPr>
        <w:t xml:space="preserve">” </w:t>
      </w:r>
      <w:r>
        <w:rPr>
          <w:rFonts w:ascii="Leelawadee UI" w:hAnsi="Leelawadee UI" w:eastAsia="Leelawadee UI" w:cs="Leelawadee UI"/>
        </w:rPr>
        <w:t>ได้รับการแทนไว้ใน</w:t>
      </w:r>
      <w:r>
        <w:rPr>
          <w:rFonts w:ascii="Times New Roman" w:hAnsi="Times New Roman" w:eastAsia="Times New Roman" w:cs="Times New Roman"/>
        </w:rPr>
        <w:t xml:space="preserve"> “</w:t>
      </w:r>
      <w:r>
        <w:rPr>
          <w:rFonts w:ascii="Leelawadee UI" w:hAnsi="Leelawadee UI" w:eastAsia="Leelawadee UI" w:cs="Leelawadee UI"/>
        </w:rPr>
        <w:t>การคลี่คลายของ</w:t>
      </w:r>
      <w:r>
        <w:rPr>
          <w:rFonts w:ascii="Times New Roman" w:hAnsi="Times New Roman" w:eastAsia="Times New Roman" w:cs="Times New Roman"/>
        </w:rPr>
        <w:t xml:space="preserve">” </w:t>
      </w:r>
      <w:r>
        <w:rPr>
          <w:rFonts w:ascii="Leelawadee UI" w:hAnsi="Leelawadee UI" w:eastAsia="Leelawadee UI" w:cs="Leelawadee UI"/>
        </w:rPr>
        <w:t>ความจริง</w:t>
      </w:r>
      <w:r>
        <w:rPr>
          <w:rFonts w:ascii="Times New Roman" w:hAnsi="Times New Roman" w:eastAsia="Times New Roman" w:cs="Times New Roman"/>
        </w:rPr>
        <w:t xml:space="preserve"> “</w:t>
      </w:r>
      <w:r>
        <w:rPr>
          <w:rFonts w:ascii="Leelawadee UI" w:hAnsi="Leelawadee UI" w:eastAsia="Leelawadee UI" w:cs="Leelawadee UI"/>
        </w:rPr>
        <w:t>พิเศษ</w:t>
      </w:r>
      <w:r>
        <w:rPr>
          <w:rFonts w:ascii="Times New Roman" w:hAnsi="Times New Roman" w:eastAsia="Times New Roman" w:cs="Times New Roman"/>
        </w:rPr>
        <w:t>” “</w:t>
      </w:r>
      <w:r>
        <w:rPr>
          <w:rFonts w:ascii="Leelawadee UI" w:hAnsi="Leelawadee UI" w:eastAsia="Leelawadee UI" w:cs="Leelawadee UI"/>
        </w:rPr>
        <w:t>ที่สัมพันธ์กับฉากสุดท้ายแห่งประวัติศาสตร์ของโลกนี้</w:t>
      </w:r>
      <w:r>
        <w:rPr>
          <w:rFonts w:ascii="Times New Roman" w:hAnsi="Times New Roman" w:eastAsia="Times New Roman" w:cs="Times New Roman"/>
        </w:rPr>
        <w:t xml:space="preserve">” </w:t>
      </w:r>
      <w:r>
        <w:rPr>
          <w:rFonts w:ascii="Leelawadee UI" w:hAnsi="Leelawadee UI" w:eastAsia="Leelawadee UI" w:cs="Leelawadee UI"/>
        </w:rPr>
        <w:t>ความจริง</w:t>
      </w:r>
      <w:r>
        <w:rPr>
          <w:rFonts w:ascii="Times New Roman" w:hAnsi="Times New Roman" w:eastAsia="Times New Roman" w:cs="Times New Roman"/>
        </w:rPr>
        <w:t xml:space="preserve"> </w:t>
      </w:r>
      <w:r>
        <w:rPr>
          <w:rFonts w:ascii="Leelawadee UI" w:hAnsi="Leelawadee UI" w:eastAsia="Leelawadee UI" w:cs="Leelawadee UI"/>
        </w:rPr>
        <w:t>และด้วยเหตุนี้</w:t>
      </w:r>
      <w:r>
        <w:rPr>
          <w:rFonts w:ascii="Times New Roman" w:hAnsi="Times New Roman" w:eastAsia="Times New Roman" w:cs="Times New Roman"/>
        </w:rPr>
        <w:t xml:space="preserve"> “</w:t>
      </w:r>
      <w:r>
        <w:rPr>
          <w:rFonts w:ascii="Leelawadee UI" w:hAnsi="Leelawadee UI" w:eastAsia="Leelawadee UI" w:cs="Leelawadee UI"/>
        </w:rPr>
        <w:t>ความจริงปัจจุบัน</w:t>
      </w:r>
      <w:r>
        <w:rPr>
          <w:rFonts w:ascii="Times New Roman" w:hAnsi="Times New Roman" w:eastAsia="Times New Roman" w:cs="Times New Roman"/>
        </w:rPr>
        <w:t xml:space="preserve">” </w:t>
      </w:r>
      <w:r>
        <w:rPr>
          <w:rFonts w:ascii="Leelawadee UI" w:hAnsi="Leelawadee UI" w:eastAsia="Leelawadee UI" w:cs="Leelawadee UI"/>
        </w:rPr>
        <w:t>จึงถูกทำให้เป็นแบบโดยพันธสัญญาใหม่เมื่อสัมพันธ์กับพันธสัญญาเดิม</w:t>
      </w:r>
      <w:r>
        <w:rPr>
          <w:rFonts w:ascii="Times New Roman" w:hAnsi="Times New Roman" w:eastAsia="Times New Roman" w:cs="Times New Roman"/>
        </w:rPr>
        <w:t xml:space="preserve"> </w:t>
      </w:r>
      <w:r>
        <w:rPr>
          <w:rFonts w:ascii="Leelawadee UI" w:hAnsi="Leelawadee UI" w:eastAsia="Leelawadee UI" w:cs="Leelawadee UI"/>
        </w:rPr>
        <w:t>ความจริงได้รับการสถาปนาขึ้นบนพยานสองคน</w:t>
      </w:r>
      <w:r>
        <w:rPr>
          <w:rFonts w:ascii="Times New Roman" w:hAnsi="Times New Roman" w:eastAsia="Times New Roman" w:cs="Times New Roman"/>
        </w:rPr>
        <w:t xml:space="preserve"> </w:t>
      </w:r>
      <w:r>
        <w:rPr>
          <w:rFonts w:ascii="Leelawadee UI" w:hAnsi="Leelawadee UI" w:eastAsia="Leelawadee UI" w:cs="Leelawadee UI"/>
        </w:rPr>
        <w:t>และความจริงมีทั้งจุดเริ่มต้นและจุดจบ</w:t>
      </w:r>
      <w:r>
        <w:rPr>
          <w:rFonts w:ascii="Times New Roman" w:hAnsi="Times New Roman" w:eastAsia="Times New Roman" w:cs="Times New Roman"/>
        </w:rPr>
        <w:t xml:space="preserve"> </w:t>
      </w:r>
      <w:r>
        <w:rPr>
          <w:rFonts w:ascii="Leelawadee UI" w:hAnsi="Leelawadee UI" w:eastAsia="Leelawadee UI" w:cs="Leelawadee UI"/>
        </w:rPr>
        <w:t>ทั้งตามตัวอักษรและฝ่ายจิตวิญญาณ</w:t>
      </w:r>
      <w:r>
        <w:rPr>
          <w:rFonts w:ascii="Times New Roman" w:hAnsi="Times New Roman" w:eastAsia="Times New Roman" w:cs="Times New Roman"/>
        </w:rPr>
        <w:t xml:space="preserve"> </w:t>
      </w:r>
      <w:r>
        <w:rPr>
          <w:rFonts w:ascii="Leelawadee UI" w:hAnsi="Leelawadee UI" w:eastAsia="Leelawadee UI" w:cs="Leelawadee UI"/>
        </w:rPr>
        <w:t>ทั้งโบราณและสมัยใหม่</w:t>
      </w:r>
      <w:r>
        <w:rPr>
          <w:rFonts w:ascii="Times New Roman" w:hAnsi="Times New Roman" w:eastAsia="Times New Roman" w:cs="Times New Roman"/>
        </w:rPr>
        <w:t xml:space="preserve"> </w:t>
      </w:r>
      <w:r>
        <w:rPr>
          <w:rFonts w:ascii="Leelawadee UI" w:hAnsi="Leelawadee UI" w:eastAsia="Leelawadee UI" w:cs="Leelawadee UI"/>
        </w:rPr>
        <w:t>ทั้งอัลฟาและโอเมกา</w:t>
      </w:r>
      <w:r>
        <w:rPr>
          <w:rFonts w:ascii="Times New Roman" w:hAnsi="Times New Roman" w:eastAsia="Times New Roman" w:cs="Times New Roman"/>
        </w:rPr>
        <w:t xml:space="preserve"> </w:t>
      </w:r>
      <w:r>
        <w:rPr>
          <w:rFonts w:ascii="Leelawadee UI" w:hAnsi="Leelawadee UI" w:eastAsia="Leelawadee UI" w:cs="Leelawadee UI"/>
        </w:rPr>
        <w:t>ทั้งแรกและสุดท้าย</w:t>
      </w:r>
    </w:p>
    <w:p>
      <w:pPr>
        <w:pStyle w:val="ArticleBody"/>
        <w:jc w:val="left"/>
      </w:pPr>
      <w:r>
        <w:rPr>
          <w:rFonts w:ascii="Times New Roman" w:hAnsi="Times New Roman" w:eastAsia="Times New Roman" w:cs="Times New Roman"/>
        </w:rPr>
        <w:t>Asas Millerit bagi pekabaran malaikat pertama ialah yang “lama” dalam hubungannya dengan pekabaran “kebenaran masa kini” malaikat ketiga. Mereka yang “menolak yang Lama,” “sebenarnya menolak yang Baharu,” kerana kedua-duanya merupakan bahagian-bahagian daripada satu keseluruhan yang tidak dapat dipisahkan.</w:t>
      </w:r>
    </w:p>
    <w:p>
      <w:pPr>
        <w:pStyle w:val="ArticleScripture"/>
        <w:jc w:val="left"/>
      </w:pPr>
      <w:r>
        <w:rPr>
          <w:rFonts w:ascii="Times New Roman" w:hAnsi="Times New Roman" w:eastAsia="Times New Roman" w:cs="Times New Roman"/>
        </w:rPr>
        <w:t>“Saya telah melihat perlunya para pembawa pekabaran, khususnya, berjaga-jaga dan mengekang segala kefanatikan di mana pun mereka melihatnya mulai timbul. Iblis mendesak dari setiap sisi, dan kecuali kita berjaga-jaga terhadapnya, serta membuka mata kita terhadap tipu dayanya dan jerat-jeratnya, dan mengenakan seluruh perlengkapan senjata Allah, maka panah-panah api dari si jahat akan mengenai kita. Ada banyak kebenaran yang berharga terkandung dalam Firman Allah, tetapi ‘kebenaran masa kini’-lah yang dibutuhkan kawanan itu sekarang. Saya telah melihat bahaya apabila para pembawa pekabaran menyimpang dari pokok-pokok penting kebenaran masa kini, lalu memusatkan perhatian pada pokok-pokok yang tidak cenderung mempersatukan kawanan itu dan menguduskan jiwa. Iblis di sini akan mengambil setiap kesempatan yang mungkin untuk merugikan pekerjaan itu.</w:t>
      </w:r>
    </w:p>
    <w:p>
      <w:pPr>
        <w:pStyle w:val="ArticleScripture"/>
        <w:jc w:val="left"/>
      </w:pPr>
      <w:r>
        <w:rPr>
          <w:rFonts w:ascii="Times New Roman" w:hAnsi="Times New Roman" w:eastAsia="Times New Roman" w:cs="Times New Roman"/>
        </w:rPr>
        <w:t>“Fahasam toy ny fitoerana masina, miaraka amin’ny 2300 andro, ny didin’Andriamanitra ary ny finoan’i Jesosy, dia voalamina tsara indrindra hanazava ny fihetsiketsehana Advantista tamin’ny lasa sy haneho izay toerana misy antsika ankehitriny, hampiorina ny finoan’ireo misalasala, ary hanome antoka ny hoavy be voninahitra. Matetika no hitako fa ireo no lohahevitra lehibe tokony hifantohan’ny iraka.” Early Writings, 63.</w:t>
      </w:r>
    </w:p>
    <w:p>
      <w:pPr>
        <w:pStyle w:val="ArticleBody"/>
        <w:jc w:val="left"/>
      </w:pPr>
      <w:r>
        <w:rPr>
          <w:rFonts w:ascii="Times New Roman" w:hAnsi="Times New Roman" w:eastAsia="Times New Roman" w:cs="Times New Roman"/>
        </w:rPr>
        <w:t>“Tempat Kudus, dalam kaitannya dengan 2300 hari, hukum-hukum Allah, dan iman kepada Yesus” adalah kunci untuk menjelaskan “gerakan Advent yang lalu” dari kaum Millerit, dan dengan demikian, untuk menjelaskan “dengan sempurna” “apa kedudukan kita sekarang.” Mereka yang “meragukan” “gerakan Advent yang lalu” sedang “meragukan” apa yang memberi “kepastian kepada masa depan yang mulia.” Yang memberi kepastian kepada masa depan ialah masa lalu.</w:t>
      </w:r>
    </w:p>
    <w:p>
      <w:pPr>
        <w:pStyle w:val="ArticleBody"/>
        <w:jc w:val="left"/>
      </w:pPr>
      <w:r>
        <w:rPr>
          <w:rFonts w:ascii="Times New Roman" w:hAnsi="Times New Roman" w:eastAsia="Times New Roman" w:cs="Times New Roman"/>
        </w:rPr>
        <w:t>Buku Joel ialah suatu pekabaran kebenaran ujian masa kini. Hal ini diteguhkan oleh banyak saksi. Joel dikenali sebagai “kebenaran masa kini” oleh Roh Nubuat, yang menurut Yohanes dalam kitab Wahyu ialah kesaksian Yesus.</w:t>
      </w:r>
    </w:p>
    <w:p>
      <w:pPr>
        <w:pStyle w:val="ArticleScripture"/>
        <w:jc w:val="left"/>
      </w:pPr>
      <w:r>
        <w:rPr>
          <w:rFonts w:ascii="Times New Roman" w:hAnsi="Times New Roman" w:eastAsia="Times New Roman" w:cs="Times New Roman"/>
        </w:rPr>
        <w:t>Penubuan Jisu Krist, uba dikaruniaka Allah ngagai iya, ngena nunjuk ngagai bala ulun iya utai ke enda lama agi deka nyadi; lalu iya ngirum melikat iya lalu mandangka iya ngagai ulun iya, John: Iya ke udah meri saksi pasal jaku Allah, enggau pasal pengaku Jisu Krist, enggau pasal semua utai ke udah dipeda iya. Penubuan 1:1, 2.</w:t>
      </w:r>
    </w:p>
    <w:p>
      <w:pPr>
        <w:pStyle w:val="ArticleBody"/>
        <w:jc w:val="left"/>
      </w:pPr>
      <w:r>
        <w:rPr>
          <w:rFonts w:ascii="Times New Roman" w:hAnsi="Times New Roman" w:eastAsia="Times New Roman" w:cs="Times New Roman"/>
        </w:rPr>
        <w:t>“Bukti” John (yang tentangnya dia telah “bersaksi”), digambarkan dalam tiga bahagian. Dia mencatatkan “firman Allah,” “kesaksian Yesus” dan “perkara-perkara yang dilihatnya.” Dalam dua ayat pertama Wahyu, John mewakili seseorang yang telah dikurniai karunia “roh nubuat.” Karunia itu merangkumi suatu penyataan khusus tentang Firman Allah, dan juga merangkumi penyataan-penyataan khusus yang disampaikan kepada nabi melalui kata-kata Kristus; (sama ada oleh Kristus sendiri atau melalui wakil-wakil malaikat-Nya) dan karunia itu juga merangkumi kebenaran yang dipersembahkan melalui perantaraan mimpi dan penglihatan. Roh nubuat ialah kesaksian Kristus yang disampaikan kepada nabi, dan ia mempunyai kewibawaan yang sama seolah-olah seorang malaikat atau Kristus sendiri mengucapkan kata-kata itu.</w:t>
      </w:r>
    </w:p>
    <w:p>
      <w:pPr>
        <w:pStyle w:val="ArticleScripture"/>
        <w:jc w:val="left"/>
      </w:pPr>
      <w:r>
        <w:rPr>
          <w:rFonts w:ascii="Times New Roman" w:hAnsi="Times New Roman" w:eastAsia="Times New Roman" w:cs="Times New Roman"/>
        </w:rPr>
        <w:t>Мән униң путлириға жиқилип, униңға ибадәт қилмақчи болдум. Лекин у маңа: «Бундақ қилма; мән сән билән вә Әйсаниң гуваһлиғиға егә болған қериндашлириң билән биллә хизмәтчи бир қулмән. Худаға ибадәт қил; чүнки Әйсаниң гуваһлиғи пәйғәмбәрлик роһидур», деди. Вәһий 19:10.</w:t>
      </w:r>
    </w:p>
    <w:p>
      <w:pPr>
        <w:pStyle w:val="ArticleBody"/>
        <w:jc w:val="left"/>
      </w:pPr>
      <w:r>
        <w:rPr>
          <w:rFonts w:ascii="Times New Roman" w:hAnsi="Times New Roman" w:eastAsia="Times New Roman" w:cs="Times New Roman"/>
        </w:rPr>
        <w:t>Jibril mengenal pasti bahawa dia ialah sesama hamba dengan Yohanes, dan dia tidak patut disembah. Jibril juga mengenal pasti bahawa “saudara-saudara” yang diwakili oleh Yohanes “mempunyai kesaksian Yesus,” iaitu “roh nubuat.” “Saudara-saudara” yang diwakili oleh Yohanes ialah seratus empat puluh empat ribu, dan saudara-saudara itu semuanya mempunyai “roh nubuat.”</w:t>
      </w:r>
    </w:p>
    <w:p>
      <w:pPr>
        <w:pStyle w:val="ArticleScripture"/>
        <w:jc w:val="left"/>
      </w:pPr>
      <w:r>
        <w:rPr>
          <w:rFonts w:ascii="Times New Roman" w:hAnsi="Times New Roman" w:eastAsia="Times New Roman" w:cs="Times New Roman"/>
        </w:rPr>
        <w:t>“Ba ne ba tsoha e sa le hosasa haholo, ba ea lefeelleng la Thekoa; ’me ha ba ntse ba tsoa, Josafate a ema a re: Nkutloeng, lōna ba Juda, le lōna baahi ba Jerusalema; lumelang ho Morena Molimo oa lōna, ’me le tla tiisoa; lumelang baprofeta ba hae, ’me le tla atleha. 2 Likronike 20:20.”</w:t>
      </w:r>
    </w:p>
    <w:p>
      <w:pPr>
        <w:pStyle w:val="ArticleScripture"/>
        <w:jc w:val="left"/>
      </w:pPr>
      <w:r>
        <w:rPr>
          <w:rFonts w:ascii="Times New Roman" w:hAnsi="Times New Roman" w:eastAsia="Times New Roman" w:cs="Times New Roman"/>
        </w:rPr>
        <w:t>“‘Dumela mo go Morena Modimo wa lona, mme lo tla tlhomamisiwa; dumelang baporofeti ba gagwe, mme lo tla atlega.’</w:t>
      </w:r>
    </w:p>
    <w:p>
      <w:pPr>
        <w:pStyle w:val="ArticleScripture"/>
        <w:jc w:val="left"/>
      </w:pPr>
      <w:r>
        <w:rPr>
          <w:rFonts w:ascii="Times New Roman" w:hAnsi="Times New Roman" w:eastAsia="Times New Roman" w:cs="Times New Roman"/>
        </w:rPr>
        <w:t>“Isaya 8:20. ‘Ku Molaong le bopaking; haeba ba sa bue ho ya ka lentswe lena, ke hobane ha ho lesedi ho bona.’ Ditemana tse pedi di bewa mona pela batho ba Modimo: maemo a mabedi a katleho. Molao o boletsweng ke Jehova ka boeena, le moya wa boprofeta, ke mehlodi e mmedi ya bohlale e tataisang batho ba Hae boiphihlelong bo bong le bo bong. Deuteronoma 4:6. ‘Hona ke bohlale ba lona le kutlwisiso ya lona mahlong a ditjhaba, tse tla re, Ka nnete setjhaba sena se seholo ke setjhaba se bohlale le se nang le kutlwisiso.’”</w:t>
      </w:r>
    </w:p>
    <w:p>
      <w:pPr>
        <w:pStyle w:val="ArticleScripture"/>
        <w:jc w:val="left"/>
      </w:pPr>
      <w:r>
        <w:rPr>
          <w:rFonts w:ascii="Times New Roman" w:hAnsi="Times New Roman" w:eastAsia="Times New Roman" w:cs="Times New Roman"/>
        </w:rPr>
        <w:t>“Molao oa Molimo le Moea oa Boporofeta li tsamaisana hammoho ho tataisa le ho eletsa kereke, ’me neng kapa neng ha kereke e lemohile sena ka ho mamela molao oa Hae, moea oa boporofeta o rometsoe ho e tataisa tseleng ea ’nete.</w:t>
      </w:r>
    </w:p>
    <w:p>
      <w:pPr>
        <w:pStyle w:val="ArticleScripture"/>
        <w:jc w:val="left"/>
      </w:pPr>
      <w:r>
        <w:rPr>
          <w:rFonts w:ascii="Times New Roman" w:hAnsi="Times New Roman" w:eastAsia="Times New Roman" w:cs="Times New Roman"/>
        </w:rPr>
        <w:t>“Pwahyɛ 12:17. ‘Na ɔwɔtwe no bo fuw ɔbea no, na ɔkɔe sɛ ɔne n’aseni nkaefo no nkɔko, wɔn a wɔdi Onyankopɔn mmara so, na wɔwɔ Yesu Kristo adanse no.’ Saa nkɔmhyɛ yi kyerɛ pefee sɛ asafo nkaefo no begye Onyankopɔn atom wɔ Ne mmara mu na wɔanya nkɔmhyɛ akyɛde no. Asetie a wɔde di Onyankopɔn mmara so, ne nkɔmhyɛ honhom no, na bere nyinaa ɛda Onyankopɔn nokware nkurɔfo no adi, na mpɛn pii no, wɔde sɔhwɛ no ma wɔ mprempren daadi ahorow no so.”</w:t>
      </w:r>
    </w:p>
    <w:p>
      <w:pPr>
        <w:pStyle w:val="ArticleScripture"/>
        <w:jc w:val="left"/>
      </w:pPr>
      <w:r>
        <w:rPr>
          <w:rFonts w:ascii="Times New Roman" w:hAnsi="Times New Roman" w:eastAsia="Times New Roman" w:cs="Times New Roman"/>
        </w:rPr>
        <w:t>“Katika siku za Yeremia watu hawakuwa na shaka lolote kuhusu ujumbe wa Musa, Eliya, au Elisha, lakini waliutilia shaka na kuuweka kando ujumbe uliotumwa na Mungu kwa Yeremia mpaka nguvu na uwezo wake vikapotea, wala hakukuwa na tiba nyingine ila Mungu kuwachukua na kuwapeleka utumwani.</w:t>
      </w:r>
    </w:p>
    <w:p>
      <w:pPr>
        <w:pStyle w:val="ArticleScripture"/>
        <w:jc w:val="left"/>
      </w:pPr>
      <w:r>
        <w:rPr>
          <w:rFonts w:ascii="Times New Roman" w:hAnsi="Times New Roman" w:eastAsia="Times New Roman" w:cs="Times New Roman"/>
        </w:rPr>
        <w:t>“Begitu juga pada zaman Kristus, orang ramai telah mengetahui bahawa berita Yeremia adalah benar, lalu mereka meyakinkan diri untuk percaya bahawa sekiranya mereka hidup pada zaman nenek moyang mereka, mereka tentu akan menerima beritanya; namun pada masa yang sama mereka sedang menolak berita Kristus, tentang Dia yang telah dituliskan oleh semua nabi.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ท่ามกลางการที่ข่าวสารของทูตสวรรค์องค์ที่สามได้อุบัติขึ้นในโลก</w:t>
      </w:r>
      <w:r>
        <w:rPr>
          <w:rFonts w:ascii="Times New Roman" w:hAnsi="Times New Roman" w:eastAsia="Times New Roman" w:cs="Times New Roman"/>
        </w:rPr>
        <w:t xml:space="preserve"> </w:t>
      </w:r>
      <w:r>
        <w:rPr>
          <w:rFonts w:ascii="Leelawadee UI" w:hAnsi="Leelawadee UI" w:eastAsia="Leelawadee UI" w:cs="Leelawadee UI"/>
        </w:rPr>
        <w:t>ซึ่งมีขึ้นเพื่อสำแดงพระบัญญัติของพระเจ้าแก่คริสตจักรอย่างครบถ้วนและด้วยฤทธานุภาพนั้น</w:t>
      </w:r>
      <w:r>
        <w:rPr>
          <w:rFonts w:ascii="Times New Roman" w:hAnsi="Times New Roman" w:eastAsia="Times New Roman" w:cs="Times New Roman"/>
        </w:rPr>
        <w:t xml:space="preserve"> </w:t>
      </w:r>
      <w:r>
        <w:rPr>
          <w:rFonts w:ascii="Leelawadee UI" w:hAnsi="Leelawadee UI" w:eastAsia="Leelawadee UI" w:cs="Leelawadee UI"/>
        </w:rPr>
        <w:t>ของประทานแห่งคำพยากรณ์ก็ได้รับการฟื้นฟูขึ้นอีกในทันทีด้วยเช่นกัน</w:t>
      </w:r>
      <w:r>
        <w:rPr>
          <w:rFonts w:ascii="Times New Roman" w:hAnsi="Times New Roman" w:eastAsia="Times New Roman" w:cs="Times New Roman"/>
        </w:rPr>
        <w:t xml:space="preserve"> </w:t>
      </w:r>
      <w:r>
        <w:rPr>
          <w:rFonts w:ascii="Leelawadee UI" w:hAnsi="Leelawadee UI" w:eastAsia="Leelawadee UI" w:cs="Leelawadee UI"/>
        </w:rPr>
        <w:t>ของประทานนี้ได้มีบทบาทอันเด่นชัดยิ่งในการพัฒนาและการผลักดันข่าวสารนี้ให้ก้าวหน้าต่อไป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“Mtima maoni yanapozuka kuhusu tafsiri za Maandiko na mbinu za utendaji, ambazo huelekea kuyumbisha imani ya waamini katika ujumbe na kuleta mafarakano katika kazi, roho ya unabii imekuwa daima ikitoa nuru juu ya hali hiyo. Daima imeleta umoja wa mawazo na upatano wa matendo kwa mwili wa waamini. Katika kila kipindi cha hatari kilichozuka katika maendeleo ya ujumbe na ukuaji wa kazi, wale waliosimama imara upande wa sheria ya Mungu na nuru ya Roho ya unabii wameshinda, nayo kazi imefanikiwa mikononi mwao.” Loma Linda Messages, 33, 34.</w:t>
      </w:r>
    </w:p>
    <w:p>
      <w:pPr>
        <w:pStyle w:val="ArticleBody"/>
        <w:jc w:val="left"/>
      </w:pPr>
      <w:r>
        <w:rPr>
          <w:rFonts w:ascii="Times New Roman" w:hAnsi="Times New Roman" w:eastAsia="Times New Roman" w:cs="Times New Roman"/>
        </w:rPr>
        <w:t>Buku Yoel dikenal pasti secara langsung sebagai “kebenaran masa kini” dalam Roh Nubuat, yang menurut Yohanes dalam kitab Wahyu ialah kesaksian Yesus. Buku itu juga disahkan secara langsung dalam Firman Tuhan. Baik Alkitab mahupun Roh Nubuat secara langsung menerapkan buku Yoel kepada akhir zaman.</w:t>
      </w:r>
    </w:p>
    <w:p>
      <w:pPr>
        <w:pStyle w:val="ArticleScripture"/>
        <w:jc w:val="left"/>
      </w:pPr>
      <w:r>
        <w:rPr>
          <w:rFonts w:ascii="Times New Roman" w:hAnsi="Times New Roman" w:eastAsia="Times New Roman" w:cs="Times New Roman"/>
        </w:rPr>
        <w:t>“Tiap-tiap nabi purba berbicara bukan terutama bagi zaman mereka sendiri, melainkan bagi zaman kita, sehingga nubuat mereka berlaku bagi kita. ‘Semuanya ini telah menimpa mereka sebagai teladan, dan dituliskan untuk menjadi peringatan bagi kita, yang hidup pada waktu, di mana zaman akhir telah tiba.’ 1 Korintus 10:11. ‘Sebab kepada mereka telah dinyatakan, bahwa mereka bukan melayani diri mereka sendiri, tetapi melayani kamu dengan segala sesuatu yang sekarang diberitakan kepada kamu dengan perantaraan mereka, yang oleh Roh Kudus yang diutus dari sorga, telah menyampaikan berita Injil kepada kamu, yaitu hal-hal yang ingin diketahui oleh malaikat-malaikat.’ 1 Petrus 1:12. …”</w:t>
      </w:r>
    </w:p>
    <w:p>
      <w:pPr>
        <w:pStyle w:val="ArticleScripture"/>
        <w:jc w:val="left"/>
      </w:pPr>
      <w:r>
        <w:rPr>
          <w:rFonts w:ascii="Times New Roman" w:hAnsi="Times New Roman" w:eastAsia="Times New Roman" w:cs="Times New Roman"/>
        </w:rPr>
        <w:t>“A Kitap Kom Santuari iha ema sira ne'ebé mak iha geração ikus ne'e. Eventu boot hotu-hotu no tranzasaun solemne hotu-hotu husi istória Testamentu Tuan nian repete ona, no hela repete hela iha igreja iha loron ikus sira ne'e.” Selected Messages, livru 3, 338, 339.</w:t>
      </w:r>
    </w:p>
    <w:p>
      <w:pPr>
        <w:pStyle w:val="ArticleBody"/>
        <w:jc w:val="left"/>
      </w:pPr>
      <w:r>
        <w:rPr>
          <w:rFonts w:ascii="Times New Roman" w:hAnsi="Times New Roman" w:eastAsia="Times New Roman" w:cs="Times New Roman"/>
        </w:rPr>
        <w:t>Propheti ya Yoele “ri khou shuma” “kha” avho “vhane magumo a shango o swika khavho.” “Ri khou shuma” zwi tou sumbedza uri “ngoho ya zwino” misi yoṱhe ndi mulingo, nahone avho vhane vha kundelwa nga mulingo wonoyo vha imelwa nga vhabvumbedzwa vha muṅwalo vhane vha nga Yudasi.</w:t>
      </w:r>
    </w:p>
    <w:p>
      <w:pPr>
        <w:pStyle w:val="ArticleScripture"/>
        <w:jc w:val="left"/>
      </w:pPr>
      <w:r>
        <w:rPr>
          <w:rFonts w:ascii="Times New Roman" w:hAnsi="Times New Roman" w:eastAsia="Times New Roman" w:cs="Times New Roman"/>
        </w:rPr>
        <w:t>“Pelajaran demi pelajaran jatuh tanpa diindahkan ke telinga Yudas. Betapa banyak orang pada masa kini mengikuti jejaknya. Dalam terang hukum Allah, orang-orang yang mementingkan diri melihat tabiat mereka yang jahat, tetapi gagal mengadakan pembaruan yang dituntut, lalu terus melangkah dari satu keadaan dosa kepada keadaan dosa yang lain.</w:t>
      </w:r>
    </w:p>
    <w:p>
      <w:pPr>
        <w:pStyle w:val="ArticleScripture"/>
        <w:jc w:val="left"/>
      </w:pPr>
      <w:r>
        <w:rPr>
          <w:rFonts w:ascii="Times New Roman" w:hAnsi="Times New Roman" w:eastAsia="Times New Roman" w:cs="Times New Roman"/>
        </w:rPr>
        <w:t>“Pelajaran-pelajaran Kristus berlaku bagi zaman dan generasi kita sendiri. Ia berkata, ‘Dan bukan untuk mereka ini saja Aku berdoa, tetapi juga untuk orang-orang yang akan percaya kepada-Ku oleh pemberitaan mereka.’ Kesaksian yang sama dibawa kepada kita pada hari-hari terakhir ini seperti yang dibawa kepada Yudas. Pelajaran-pelajaran yang sama, yang gagal ia terapkan secara nyata dalam hidupnya, datang kepada manusia yang mendengar, namun mengalami kegagalan yang serupa, karena mereka tidak membuang dosa mereka.” Review and Herald, 17 Maret 1891.</w:t>
      </w:r>
    </w:p>
    <w:p>
      <w:pPr>
        <w:pStyle w:val="ArticleBody"/>
        <w:jc w:val="left"/>
      </w:pPr>
      <w:r>
        <w:rPr>
          <w:rFonts w:ascii="Times New Roman" w:hAnsi="Times New Roman" w:eastAsia="Times New Roman" w:cs="Times New Roman"/>
        </w:rPr>
        <w:t>Yuhanna dalam seluruh kitab Wahyu melambangkan umat Allah pada akhir zaman, dan dengan dibuang ke Patmos, Yuhanna mewakili mereka yang dianiaya dalam krisis undang-undang Ahad. Dia menyatakan sebab dia dipenjarakan.</w:t>
      </w:r>
    </w:p>
    <w:p>
      <w:pPr>
        <w:pStyle w:val="ArticleScripture"/>
        <w:jc w:val="left"/>
      </w:pPr>
      <w:r>
        <w:rPr>
          <w:rFonts w:ascii="Times New Roman" w:hAnsi="Times New Roman" w:eastAsia="Times New Roman" w:cs="Times New Roman"/>
        </w:rPr>
        <w:t>Ndzi Yohane, loyi na mina ndzi nga makwenu ni mutirhisani na n’wina eku xanisiweni, ni le ku fumeni ka Yesu Kriste, ni le ku tiyiseleleni ka Yesu Kriste, a ndzi ri exihlaleni lexi vuriwaka Patimosi hikwalaho ka rito ra Xikwembu, ni hikwalaho ka vumbhoni bya Yesu Kriste. Nhlavutelo 1:9.</w:t>
      </w:r>
    </w:p>
    <w:p>
      <w:pPr>
        <w:pStyle w:val="ArticleBody"/>
        <w:jc w:val="left"/>
      </w:pPr>
      <w:r>
        <w:rPr>
          <w:rFonts w:ascii="Times New Roman" w:hAnsi="Times New Roman" w:eastAsia="Times New Roman" w:cs="Times New Roman"/>
        </w:rPr>
        <w:t>Yohana ngwaku wa Biblia na Roho ya Unabii. Kwa nini wale mia moja na arobaini na nne elfu wanateswa kwa sababu ya Roho ya Unabii? Ukweli wa kwanza ambao nabii Yoeli anautambulisha ni uasi wa kanisa la Waadventista Wasabato. Mtume Petro alipotambua kwamba Pentekoste ilikuwa utimizo wa kitabu cha Yoeli, Petro alifanya hivyo kwa kujibu mashambulizi ya Wayahudi dhidi ya udhihirisho wa “lugha.” Wayahudi, ambao hapo walikuwa mfano wa Waadventista Wasabato katika siku za mwisho, walikuwa wakisema kwamba Petro na wale waliokuwa wakitangaza ujumbe walikuwa “walevi.” Waadventista Wasabato watapigana dhidi ya ujumbe wa mvua ya mwisho kama walivyofanya Wayahudi wa wakati wa Petro. Wanafanya hivyo kwa kuwa wale wanaotangaza ujumbe wa kujaribu wa “ukweli wa sasa” wa mvua ya mwisho wanazo kweli za msingi za “zamani,” kwa maana ukweli mpya daima hujengwa juu ya ukweli wa zamani. Yeremia aliwaita watu wa Mungu katika wakati wa mvua ya mwisho waende katika njia za kale na kuisikiliza sauti ya tarumbeta ya mlinzi, lakini wanakataa. Ujumbe wa msingi wa ukweli wa “zamani” kwa njia ya ishara unawakilishwa na “nyakati saba” za Mambo ya Walawi ishirini na sita, zinazoweka wazi uhusiano wa agano kwa misingi ya Sabato kwa ajili ya nchi.</w:t>
      </w:r>
    </w:p>
    <w:p>
      <w:pPr>
        <w:pStyle w:val="ArticleScripture"/>
        <w:jc w:val="left"/>
      </w:pPr>
      <w:r>
        <w:rPr>
          <w:rFonts w:ascii="Times New Roman" w:hAnsi="Times New Roman" w:eastAsia="Times New Roman" w:cs="Times New Roman"/>
        </w:rPr>
        <w:t>“Ná bona gore kereke ya leina fela le Baadventist ba leina fela, jaaka Judase, ba ne ba tla re okaela kwa go Bakatoliki gore ba bone tlhotlheletso ya bone gore ba tle ba lwantšhane le boammaaruri. Ka nako eo baitshepi ba tla bo e le batho ba ba sa itseweng thata, ba sa itsewe thata ke Bakatoliki; mme dikereke le Baadventist ba leina fela ba ba itseng tumelo ya rona le mekgwa ya rona (gonne ba ne ba re tlhoile ka ntlha ya Sabata, ka gonne ba ne ba sa kgone go e ganetsa) ba tla okaela baitshepi mme ba ba bega kwa go Bakatoliki jaaka ba ba nyatsang ditheo tsa batho; ke gore, gore ba boloka Sabata mme ba nyatsa Sontaga.”</w:t>
      </w:r>
    </w:p>
    <w:p>
      <w:pPr>
        <w:pStyle w:val="ArticleScripture"/>
        <w:jc w:val="left"/>
      </w:pPr>
      <w:r>
        <w:rPr>
          <w:rFonts w:ascii="Times New Roman" w:hAnsi="Times New Roman" w:eastAsia="Times New Roman" w:cs="Times New Roman"/>
        </w:rPr>
        <w:t>“</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ካቶሊኮች</w:t>
      </w:r>
      <w:r>
        <w:rPr>
          <w:rFonts w:ascii="Times New Roman" w:hAnsi="Times New Roman" w:eastAsia="Times New Roman" w:cs="Times New Roman"/>
        </w:rPr>
        <w:t xml:space="preserve"> </w:t>
      </w:r>
      <w:r>
        <w:rPr>
          <w:rFonts w:ascii="Ebrima" w:hAnsi="Ebrima" w:eastAsia="Ebrima" w:cs="Ebrima"/>
        </w:rPr>
        <w:t>ፕሮቴስታንቶቹን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እንዲገፉ</w:t>
      </w:r>
      <w:r>
        <w:rPr>
          <w:rFonts w:ascii="Times New Roman" w:hAnsi="Times New Roman" w:eastAsia="Times New Roman" w:cs="Times New Roman"/>
        </w:rPr>
        <w:t xml:space="preserve"> </w:t>
      </w:r>
      <w:r>
        <w:rPr>
          <w:rFonts w:ascii="Ebrima" w:hAnsi="Ebrima" w:eastAsia="Ebrima" w:cs="Ebrima"/>
        </w:rPr>
        <w:t>ያነሣሣሉ፣</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ከሰባተኛው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የሳምንቱን</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የማይጠብቁ</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እንዲገደሉ</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ያወጣሉ።</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ቁጥራቸው</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የሆኑት</w:t>
      </w:r>
      <w:r>
        <w:rPr>
          <w:rFonts w:ascii="Times New Roman" w:hAnsi="Times New Roman" w:eastAsia="Times New Roman" w:cs="Times New Roman"/>
        </w:rPr>
        <w:t xml:space="preserve"> </w:t>
      </w:r>
      <w:r>
        <w:rPr>
          <w:rFonts w:ascii="Ebrima" w:hAnsi="Ebrima" w:eastAsia="Ebrima" w:cs="Ebrima"/>
        </w:rPr>
        <w:t>ካቶሊኮች</w:t>
      </w:r>
      <w:r>
        <w:rPr>
          <w:rFonts w:ascii="Times New Roman" w:hAnsi="Times New Roman" w:eastAsia="Times New Roman" w:cs="Times New Roman"/>
        </w:rPr>
        <w:t xml:space="preserve"> </w:t>
      </w:r>
      <w:r>
        <w:rPr>
          <w:rFonts w:ascii="Ebrima" w:hAnsi="Ebrima" w:eastAsia="Ebrima" w:cs="Ebrima"/>
        </w:rPr>
        <w:t>ከፕሮቴስታንቶቹ</w:t>
      </w:r>
      <w:r>
        <w:rPr>
          <w:rFonts w:ascii="Times New Roman" w:hAnsi="Times New Roman" w:eastAsia="Times New Roman" w:cs="Times New Roman"/>
        </w:rPr>
        <w:t xml:space="preserve"> </w:t>
      </w:r>
      <w:r>
        <w:rPr>
          <w:rFonts w:ascii="Ebrima" w:hAnsi="Ebrima" w:eastAsia="Ebrima" w:cs="Ebrima"/>
        </w:rPr>
        <w:t>ጎን</w:t>
      </w:r>
      <w:r>
        <w:rPr>
          <w:rFonts w:ascii="Times New Roman" w:hAnsi="Times New Roman" w:eastAsia="Times New Roman" w:cs="Times New Roman"/>
        </w:rPr>
        <w:t xml:space="preserve"> </w:t>
      </w:r>
      <w:r>
        <w:rPr>
          <w:rFonts w:ascii="Ebrima" w:hAnsi="Ebrima" w:eastAsia="Ebrima" w:cs="Ebrima"/>
        </w:rPr>
        <w:t>ይቆማሉ።</w:t>
      </w:r>
      <w:r>
        <w:rPr>
          <w:rFonts w:ascii="Times New Roman" w:hAnsi="Times New Roman" w:eastAsia="Times New Roman" w:cs="Times New Roman"/>
        </w:rPr>
        <w:t xml:space="preserve"> </w:t>
      </w:r>
      <w:r>
        <w:rPr>
          <w:rFonts w:ascii="Ebrima" w:hAnsi="Ebrima" w:eastAsia="Ebrima" w:cs="Ebrima"/>
        </w:rPr>
        <w:t>ካቶሊኮች</w:t>
      </w:r>
      <w:r>
        <w:rPr>
          <w:rFonts w:ascii="Times New Roman" w:hAnsi="Times New Roman" w:eastAsia="Times New Roman" w:cs="Times New Roman"/>
        </w:rPr>
        <w:t xml:space="preserve"> </w:t>
      </w:r>
      <w:r>
        <w:rPr>
          <w:rFonts w:ascii="Ebrima" w:hAnsi="Ebrima" w:eastAsia="Ebrima" w:cs="Ebrima"/>
        </w:rPr>
        <w:t>ኃይላቸውን</w:t>
      </w:r>
      <w:r>
        <w:rPr>
          <w:rFonts w:ascii="Times New Roman" w:hAnsi="Times New Roman" w:eastAsia="Times New Roman" w:cs="Times New Roman"/>
        </w:rPr>
        <w:t xml:space="preserve"> </w:t>
      </w:r>
      <w:r>
        <w:rPr>
          <w:rFonts w:ascii="Ebrima" w:hAnsi="Ebrima" w:eastAsia="Ebrima" w:cs="Ebrima"/>
        </w:rPr>
        <w:t>ለአውሬው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ይሰጣሉ።</w:t>
      </w:r>
      <w:r>
        <w:rPr>
          <w:rFonts w:ascii="Times New Roman" w:hAnsi="Times New Roman" w:eastAsia="Times New Roman" w:cs="Times New Roman"/>
        </w:rPr>
        <w:t xml:space="preserve"> </w:t>
      </w:r>
      <w:r>
        <w:rPr>
          <w:rFonts w:ascii="Ebrima" w:hAnsi="Ebrima" w:eastAsia="Ebrima" w:cs="Ebrima"/>
        </w:rPr>
        <w:t>ፕሮቴስታንቶችም</w:t>
      </w:r>
      <w:r>
        <w:rPr>
          <w:rFonts w:ascii="Times New Roman" w:hAnsi="Times New Roman" w:eastAsia="Times New Roman" w:cs="Times New Roman"/>
        </w:rPr>
        <w:t xml:space="preserve"> </w:t>
      </w:r>
      <w:r>
        <w:rPr>
          <w:rFonts w:ascii="Ebrima" w:hAnsi="Ebrima" w:eastAsia="Ebrima" w:cs="Ebrima"/>
        </w:rPr>
        <w:t>እናታቸው</w:t>
      </w:r>
      <w:r>
        <w:rPr>
          <w:rFonts w:ascii="Times New Roman" w:hAnsi="Times New Roman" w:eastAsia="Times New Roman" w:cs="Times New Roman"/>
        </w:rPr>
        <w:t xml:space="preserve"> </w:t>
      </w:r>
      <w:r>
        <w:rPr>
          <w:rFonts w:ascii="Ebrima" w:hAnsi="Ebrima" w:eastAsia="Ebrima" w:cs="Ebrima"/>
        </w:rPr>
        <w:t>ከእነርሱ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ቅዱሳኑን</w:t>
      </w:r>
      <w:r>
        <w:rPr>
          <w:rFonts w:ascii="Times New Roman" w:hAnsi="Times New Roman" w:eastAsia="Times New Roman" w:cs="Times New Roman"/>
        </w:rPr>
        <w:t xml:space="preserve"> </w:t>
      </w:r>
      <w:r>
        <w:rPr>
          <w:rFonts w:ascii="Ebrima" w:hAnsi="Ebrima" w:eastAsia="Ebrima" w:cs="Ebrima"/>
        </w:rPr>
        <w:t>ለማጥፋት</w:t>
      </w:r>
      <w:r>
        <w:rPr>
          <w:rFonts w:ascii="Times New Roman" w:hAnsi="Times New Roman" w:eastAsia="Times New Roman" w:cs="Times New Roman"/>
        </w:rPr>
        <w:t xml:space="preserve"> </w:t>
      </w:r>
      <w:r>
        <w:rPr>
          <w:rFonts w:ascii="Ebrima" w:hAnsi="Ebrima" w:eastAsia="Ebrima" w:cs="Ebrima"/>
        </w:rPr>
        <w:t>እንደሠራች</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ይሠራሉ።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ትእዛዛቸው</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ከማፍራቱ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ቅዱሳኑ</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ይድናሉ።</w:t>
      </w:r>
      <w:r>
        <w:rPr>
          <w:rFonts w:ascii="Times New Roman" w:hAnsi="Times New Roman" w:eastAsia="Times New Roman" w:cs="Times New Roman"/>
        </w:rPr>
        <w:t>” Spalding and Magan, 1, 2.</w:t>
      </w:r>
    </w:p>
    <w:p>
      <w:pPr>
        <w:pStyle w:val="ArticleBody"/>
        <w:jc w:val="left"/>
      </w:pPr>
      <w:r>
        <w:rPr>
          <w:rFonts w:ascii="Times New Roman" w:hAnsi="Times New Roman" w:eastAsia="Times New Roman" w:cs="Times New Roman"/>
        </w:rPr>
        <w:t>Dua kali Sister White mengenal pasti “gereja nominal” dan “Adventist nominal,” sambil membuat suatu perbezaan antara kedua-dua “golongan nominal” itu dan “Katolik.” “Gereja nominal” dan “Adventist nominal,” “membenci” mereka yang diwakili oleh Petrus dan Yohanes “oleh sebab Sabat, kerana mereka tidak dapat menyangkalnya.” Gereja nominal dan Katolik tidak dapat “menyangkal” kebenaran Sabat hari ketujuh, dan “Adventist nominal” tidak dapat “menyangkal” “tujuh masa” dalam Imamat dua puluh enam, yang merupakan perintah Sabat bagi tanah itu. Gereja nominal dan Katolik tidak dapat “menyangkal” hakikat bahawa Sabat hari ketujuh ialah suatu kebenaran Alkitab yang “asas,” dan “Adventist nominal” tidak dapat “menyangkal” hakikat bahawa “tujuh masa” dalam Imamat dua puluh enam ialah suatu kebenaran Millerit yang “asas.”</w:t>
      </w:r>
    </w:p>
    <w:p>
      <w:pPr>
        <w:pStyle w:val="ArticleBody"/>
        <w:jc w:val="left"/>
      </w:pPr>
      <w:r>
        <w:rPr>
          <w:rFonts w:ascii="Times New Roman" w:hAnsi="Times New Roman" w:eastAsia="Times New Roman" w:cs="Times New Roman"/>
        </w:rPr>
        <w:t>Ukuboshwa kukaJohane ePhatmose kumela abayizinkulungwane eziyikhulu namashumi amane nane abagcina kokubili iBhayibheli noMoya Wesiprofetho, futhi abashushiswa ngokukhethekile ngaphandle ngenxa yeSabatha yosuku lwesikhombisa, futhi bashushiswe ngaphakathi ngenxa yeSabatha yonyaka wesikhombisa yezwe. Ngenxa yalesi sizathu, ubufakazi bukaJohane bokuthi kungani wayeshushiswa evesini lesishiyagalolunye bulandelwa yiSabatha yevesi leshumi kanye nomyalezo ovela esikhathini esidlule (“ngemuva”) ovela “ezwini elikhulu” njengowelika “cilongo.”</w:t>
      </w:r>
    </w:p>
    <w:p>
      <w:pPr>
        <w:pStyle w:val="ArticleScripture"/>
        <w:jc w:val="left"/>
      </w:pPr>
      <w:r>
        <w:rPr>
          <w:rFonts w:ascii="Times New Roman" w:hAnsi="Times New Roman" w:eastAsia="Times New Roman" w:cs="Times New Roman"/>
        </w:rPr>
        <w:t>Ndzi Yohane, loyi na mina ndzi nga makwenu, ni munghana exikarhi ka nhlomulo, ni le ka mfumo ni ku tiyisela ka Yesu Kriste, a ndzi ri exihlaleni lexi vuriwaka Patmosi hikwalaho ka rito ra Xikwembu, ni hikwalaho ka vumbhoni bya Yesu Kriste. A ndzi ri eMoyeni hi siku ra Hosi, kutani ndzi twa endzhaku ka mina rito lerikulu, onge i ra mhalamhala. Nhlavutelo 1:9, 10.</w:t>
      </w:r>
    </w:p>
    <w:p>
      <w:pPr>
        <w:pStyle w:val="ArticleBody"/>
        <w:jc w:val="left"/>
      </w:pPr>
      <w:r>
        <w:rPr>
          <w:rFonts w:ascii="Times New Roman" w:hAnsi="Times New Roman" w:eastAsia="Times New Roman" w:cs="Times New Roman"/>
        </w:rPr>
        <w:t>John mewakili mereka yang pada 9/11 mendengar suara sangkakala malaikat dalam Wahyu delapan belas yang menyerukan agar umat Allah kembali kepada “jalan-jalan yang lama” menurut Yeremia. Suara yang nyaring itu juga merupakan amaran sangkakala ketujuh, yang juga adalah celaka yang ketiga.</w:t>
      </w:r>
    </w:p>
    <w:p>
      <w:pPr>
        <w:pStyle w:val="ArticleBody"/>
        <w:jc w:val="left"/>
      </w:pPr>
      <w:r>
        <w:rPr>
          <w:rFonts w:ascii="Times New Roman" w:hAnsi="Times New Roman" w:eastAsia="Times New Roman" w:cs="Times New Roman"/>
        </w:rPr>
        <w:t>Sista Waete i raetem se Baebol i “bin hipimap mo fasem tugeta ol tresa blong hem blong las jeneresen ia.” Buk blong Joel i wan long ol “tresa” blong Baebol we i present truth long “las dei.” Long taem blong Pentekos, Pita i makemaot se hemia buk blong Joel we i stap kamtru long taem ya. Pita, semak wetem Joel, i “toktok smol moa blong” taem blong Pentekos i bitim se hem i toktok blong “taem” blong yumi. Taem blong Pentekos i early rain blong Kristin Dispensasen. Pentekos i makem stat blong Kristin Dispensasen, mo long sem fasin ia i soemaot en blong Kristin Dispensasen. En blong Kristin Dispensasen i taem blong latter rain, olsem Pentekos i mekem taep blong hem. From samting ia, Pita i wan saen blong ol pipol blong God long en blong Kristin Dispensasen we oli save makemaot kamtru blong outpouring blong Tabu Spirit taem oli yusum buk blong Joel blong mekem olsem.</w:t>
      </w:r>
    </w:p>
    <w:p>
      <w:pPr>
        <w:pStyle w:val="ArticleScripture"/>
        <w:jc w:val="left"/>
      </w:pPr>
      <w:r>
        <w:rPr>
          <w:rFonts w:ascii="Times New Roman" w:hAnsi="Times New Roman" w:eastAsia="Times New Roman" w:cs="Times New Roman"/>
        </w:rPr>
        <w:t>Petro, ka ema na ba lesome le mongwe, a tsholetsa lentswe la gagwe, a bua le bone a re: Banna ba Judea, le lona lotlhe ba lo agileng mo Jerusalema, a tsotlhe tse di itsiwe ke lona, mme lo utlwe mafoko a me. Gonne bano ga ba a tagwa, jaaka lo akanya, ka e le gore jaanong ke ura ya boraro ya letsatsi. Mme se ke sone se se builweng ka moporofeti Joele; Go tla diragala mo metlheng ya bofelo, go bua Modimo, Ke tla tshololela Mowa wa me mo nameng yotlhe; mme bomorwaalona le bomorwadialona ba tla porofeta, le makawana a lona a tla bona dipono, le bagolwane ba lona ba tla lora ditoro. Ee, mo batlhankeng ba me le mo batlhankeng ba me ba basadi Ke tla tshololela Mowa wa me mo malatsing ao; mme ba tla porofeta. Mme Ke tla supa dikgakgamatso kwa legodimong godimo, le ditshupo mo lefatsheng tlase; madi, le molelo, le mosi wa mouwane. Letsatsi le tla fetolwa lefifi, le ngwedi o tla fetolwa madi, pele letsatsi leo le legolo le le tumileng la Morena le tla. Mme go tla diragala gore mongwe le mongwe yo o tla bitsang leina la Morena o tla bolokwa. Ditiro 2:14–21.</w:t>
      </w:r>
    </w:p>
    <w:p>
      <w:pPr>
        <w:pStyle w:val="ArticleBody"/>
        <w:jc w:val="left"/>
      </w:pPr>
      <w:r>
        <w:rPr>
          <w:rFonts w:ascii="Times New Roman" w:hAnsi="Times New Roman" w:eastAsia="Times New Roman" w:cs="Times New Roman"/>
        </w:rPr>
        <w:t>Untuk menjadi seorang pelajar nubuatan yang berjaya memerlukan suatu pemahaman yang teguh bahawa akhir dunia digambarkan “baris demi baris” dalam naratif sejarah Kitab Suci. Berkaitan dengan kebenaran ini ialah bahawa para nabi sendiri melambangkan umat Tuhan pada akhir zaman. Yoel menempatkan kitabnya pada akhir zaman kerana kitab itu mengumumkan mendekatnya “hari Tuhan.”</w:t>
      </w:r>
    </w:p>
    <w:p>
      <w:pPr>
        <w:pStyle w:val="ArticleScripture"/>
        <w:jc w:val="left"/>
      </w:pPr>
      <w:r>
        <w:rPr>
          <w:rFonts w:ascii="Times New Roman" w:hAnsi="Times New Roman" w:eastAsia="Times New Roman" w:cs="Times New Roman"/>
        </w:rPr>
        <w:t>Letang terompeta mo Siona, ary ampaneno ny fanairana ao amin’ny tendrombohitro masina; aoka hangovitra ny mponina rehetra amin’ny tany; fa avy ny andron’i Jehovah, eny, efa antomotra izany. Joela 2:1.</w:t>
      </w:r>
    </w:p>
    <w:p>
      <w:pPr>
        <w:pStyle w:val="ArticleBody"/>
        <w:jc w:val="left"/>
      </w:pPr>
      <w:r>
        <w:rPr>
          <w:rFonts w:ascii="Times New Roman" w:hAnsi="Times New Roman" w:eastAsia="Times New Roman" w:cs="Times New Roman"/>
        </w:rPr>
        <w:t>“</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प्रसंग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प्रायश्चित</w:t>
      </w:r>
      <w:r>
        <w:rPr>
          <w:rFonts w:ascii="Times New Roman" w:hAnsi="Times New Roman" w:eastAsia="Times New Roman" w:cs="Times New Roman"/>
        </w:rPr>
        <w:t>-</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“hari Tuhan” menggambarkan sama ada suatu titik waktu atau suatu jangka masa, berdasarkan konteks petikan di mana “hari Tuhan” digunakan. “hari Tuhan” boleh menjadi lambang penghakiman pelaksanaan yang digambarkan sebagai tujuh malapetaka terakhir, atau boleh juga merujuk kepada penghakiman pelaksanaan pada penghujung milenium seribu tahun. Dalam kedua-dua keadaan, sangkakala itu menandakan penghakiman pelaksanaan Allah. Oleh itu, “hari Tuhan” boleh merujuk kepada titik ketika hukuman Allah dilaksanakan atau kepada jangka masa ketika hukuman-hukuman Allah dilaksanakan.</w:t>
      </w:r>
    </w:p>
    <w:p>
      <w:pPr>
        <w:pStyle w:val="ArticleBody"/>
        <w:jc w:val="left"/>
      </w:pPr>
      <w:r>
        <w:rPr>
          <w:rFonts w:ascii="Times New Roman" w:hAnsi="Times New Roman" w:eastAsia="Times New Roman" w:cs="Times New Roman"/>
        </w:rPr>
        <w:t>“Sangkakala,” seperti halnya “hari Tuhan,” dapat melambangkan suatu titik waktu maupun suatu jangka waktu, sebagaimana disaksikan dalam titik-titik dan periode-periode sejarah yang dilambangkan oleh ketujuh sangkakala dalam Wahyu pasal delapan dan sembilan. “Hari Tuhan” yang digambarkan Yoel dengan “sangkakala” yang harus ditiup itu—adalah baik suatu titik waktu maupun juga suatu jangka waktu yang dimulai ketika penghakiman atas orang mati berakhir dan penghakiman atas orang hidup dimulai. Pada 9/11, sebuah sangkakala ditiup yang menandai tibanya penghakiman atas orang hidup sebagai suatu titik waktu, dan juga menandai 9/11 sebagai permulaan periode penghakiman atas orang hidup.</w:t>
      </w:r>
    </w:p>
    <w:p>
      <w:pPr>
        <w:pStyle w:val="ArticleScripture"/>
        <w:jc w:val="left"/>
      </w:pPr>
      <w:r>
        <w:rPr>
          <w:rFonts w:ascii="Times New Roman" w:hAnsi="Times New Roman" w:eastAsia="Times New Roman" w:cs="Times New Roman"/>
        </w:rPr>
        <w:t>Jadi sekarang juga, firman TUHAN, berbaliklah kepada-Ku dengan segenap hatimu, dengan berpuasa, dengan menangis, dan dengan meratap. Koyakkanlah hatimu dan jangan pakaianmu, dan berbaliklah kepada TUHAN, Allahmu; sebab Ia pengasih dan penyayang, panjang sabar dan berlimpah kasih setia, dan Ia menyesal karena malapetaka itu. Siapa tahu, mungkin Ia akan berbalik dan menyesal, lalu meninggalkan berkat di belakang-Nya, yakni korban sajian dan korban curahan bagi TUHAN, Allahmu? Tiuplah sangkakala di Sion, kuduskanlah puasa, serukanlah perkumpulan raya. Yoel 2:12–15.</w:t>
      </w:r>
    </w:p>
    <w:p>
      <w:pPr>
        <w:pStyle w:val="ArticleBody"/>
        <w:jc w:val="left"/>
      </w:pPr>
      <w:r>
        <w:rPr>
          <w:rFonts w:ascii="Times New Roman" w:hAnsi="Times New Roman" w:eastAsia="Times New Roman" w:cs="Times New Roman"/>
        </w:rPr>
        <w:t>꞉ꞰꞱꞴ Ꞓꞷ ꞝꞩꞵ ꞶꞩꞬ ꞚꞭ ꞽꞿꞷꞻ. Ꞓꞷ ꞫꞬꞩ ꞽꞿꞷꞻꞴ “trumpets” Ꞓꞷ Ꞓꞷꞵꞩꞽ ꞳꞬꞶ ꞝꞫꞷꞻ ꞩꞯꞭꞷꞬꞿ ꞬꞒꞵꞴ ꞚꞭ ꞭꞩꞪꞼꞽ ꞠꞭꞩꞹꞶ ꞽꞾꞬꞷꞻ Ꞓꞷ ꞚꞭ ꞪꞿꞬꞷꞻ ꞛꞩꞼꞽꞩ ꞩꞿꞵꞬꞷꞻ ꞨꞭꞩꞬ, ꞽꞿ ꞒꞾꞬꞷꞻ ꞩꞯ ꞤꞷꞻꞩꞽꞿꞩꞹꞬ Ꞓꞷ ꞤꞩꞭꞫꞷꞻꞿꞩꞽ ꞩꞯ ꞠꞩꞶꞫꞯꞶꞩ ꞛꞩ ꞶꞩꞽꞿꞵꞬꞽꞿꞶ ꞓꞪꞩꞼꞽꞿꞩꞽꞿꞵꞩ.</w:t>
      </w:r>
    </w:p>
    <w:p>
      <w:pPr>
        <w:pStyle w:val="ArticleScripture"/>
        <w:jc w:val="left"/>
      </w:pPr>
      <w:r>
        <w:rPr>
          <w:rFonts w:ascii="Times New Roman" w:hAnsi="Times New Roman" w:eastAsia="Times New Roman" w:cs="Times New Roman"/>
        </w:rPr>
        <w:t>Ba ngwang, ba khorrei shaphrang, pyneh ïa ka sur jong pha kum ka buh-dut, bad pyni ha ki briew jong nga ïa ka jingryngkang jong ki, bad ha ka ïing u Jakob ïa ki pop jong ki. Isaiah 58:1.</w:t>
      </w:r>
    </w:p>
    <w:p>
      <w:pPr>
        <w:pStyle w:val="ArticleBody"/>
        <w:jc w:val="left"/>
      </w:pPr>
      <w:r>
        <w:rPr>
          <w:rFonts w:ascii="Times New Roman" w:hAnsi="Times New Roman" w:eastAsia="Times New Roman" w:cs="Times New Roman"/>
        </w:rPr>
        <w:t>Isaia, Joele, Johane le Petro ka moka ba emela ba dikete tše lekgolo le masomenne-nne ba mehla ya bofelo, bjalo ka ge Jeremia le yena a laetša nako yeo phalafala e swanetšego go letšwa ka yona.</w:t>
      </w:r>
    </w:p>
    <w:p>
      <w:pPr>
        <w:pStyle w:val="ArticleScripture"/>
        <w:jc w:val="left"/>
      </w:pPr>
      <w:r>
        <w:rPr>
          <w:rFonts w:ascii="Times New Roman" w:hAnsi="Times New Roman" w:eastAsia="Times New Roman" w:cs="Times New Roman"/>
        </w:rPr>
        <w:t>Mungu uthi hivi, Simameni njiani, mkaone, mkatafute mapito ya kale, ilipo njia iliyo njema, mkatembee humo, nanyi mtapata raha kwa ajili ya roho zenu. Lakini wakasema, Hatuwezi kutembea humo. Tena niliweka walinzi juu yenu, nikisema, Sikilizeni sauti ya baragumu. Lakini wakasema, Hatusikii. Yeremia 6:16, 17.</w:t>
      </w:r>
    </w:p>
    <w:p>
      <w:pPr>
        <w:pStyle w:val="ArticleBody"/>
        <w:jc w:val="left"/>
      </w:pPr>
      <w:r>
        <w:rPr>
          <w:rFonts w:ascii="Times New Roman" w:hAnsi="Times New Roman" w:eastAsia="Times New Roman" w:cs="Times New Roman"/>
        </w:rPr>
        <w:t>Angolot ya buŋ-tua wɔɔma nɛ ba daa nyɛna la poore 9/11, ka saŋ-kpɛɛma kaŋ nyɛla nyɛna la n daan kɔɔri zaa la nɔɔre la nɛ nyɛ ka ba gban’e la suŋ-sɔŋa ka taari la. La yɛla ka Malek la kaŋ nyɛla Revelation eighteen n bɛgma.</w:t>
      </w:r>
    </w:p>
    <w:p>
      <w:pPr>
        <w:pStyle w:val="ArticleScripture"/>
        <w:jc w:val="left"/>
      </w:pPr>
      <w:r>
        <w:rPr>
          <w:rFonts w:ascii="Times New Roman" w:hAnsi="Times New Roman" w:eastAsia="Times New Roman" w:cs="Times New Roman"/>
        </w:rPr>
        <w:t>“Pula e nau mai he fakaʻosinga kuo pau ke tō hifo ki he kakai ʻa e ʻOtua. ʻE hifo mai mei he langi ha ʻāngelo māfimafi, pea ʻe hoʻomāmā ʻa māmani kātoa ʻe hono nāunau.” Review and Herald, ʻEpeleli 21, 1891.</w:t>
      </w:r>
    </w:p>
    <w:p>
      <w:pPr>
        <w:pStyle w:val="ArticleBody"/>
        <w:jc w:val="left"/>
      </w:pPr>
      <w:r>
        <w:rPr>
          <w:rFonts w:ascii="Times New Roman" w:hAnsi="Times New Roman" w:eastAsia="Times New Roman" w:cs="Times New Roman"/>
        </w:rPr>
        <w:t>Apabila bangunan-bangunan besar di New York telah diruntuhkan pada 9/11, malaikat yang perkasa itu turun, dan hujan akhir pun mula dicurahkan.</w:t>
      </w:r>
    </w:p>
    <w:p>
      <w:pPr>
        <w:pStyle w:val="ArticleScripture"/>
        <w:jc w:val="left"/>
      </w:pPr>
      <w:r>
        <w:rPr>
          <w:rFonts w:ascii="Times New Roman" w:hAnsi="Times New Roman" w:eastAsia="Times New Roman" w:cs="Times New Roman"/>
        </w:rPr>
        <w:t>“Lina kalikamo lile lya ndiyasimbwije lya kuti New York ali wa kupyangulwamo ne lishipibiko lya menshi ya kalunga? Ici nshatala nanda ukusosa. Nasosa lyeshi, pa kutala ku mayanda ayakalamba yakwelela kulya, chipuna pa chipuna, ‘Mishikakulo ya buteta ilacitika lilya Mukama akema ku kunyukusha isonde nelyo buteta! Elyo amashiwi ya Kusokolola 18:1–3 yakafikilwa.’ Icikomo conse ca cipandwa ca kumi na cine conse ica Kusokolola ni cecenjezo ca fintu fileisa pa nsi. Lelo nshikwete ulubuto ulwa mwine pa fyo fileisa pa New York, kano fye kuti naishiba ati ubushiku bumo amayanda ayakalamba kulya yakapononwa ku kupilibula no kupilibululamo kwa maka yakwe Lesa. Ukufuma ku lubuto lwanjipelwa, naishiba ati ukubwafya kuli mw’isonde. Ishiwi limo ukufuma kuli Mukama, ukunkuma kumo kwa maka yakwe ayabafye, na yaya mayanda ayakosa yakwelela yakagwa. Imishikakulo yakwe buteta iyo teti twelenganye ubucushi bwayo ikacitika.” Review and Herald, July 5, 1906.</w:t>
      </w:r>
    </w:p>
    <w:p>
      <w:pPr>
        <w:pStyle w:val="ArticleBody"/>
        <w:jc w:val="left"/>
      </w:pPr>
      <w:r>
        <w:rPr>
          <w:rFonts w:ascii="Times New Roman" w:hAnsi="Times New Roman" w:eastAsia="Times New Roman" w:cs="Times New Roman"/>
        </w:rPr>
        <w:t>Ka 9/11 pula ea morao e ile ea qala ho fafatsa esale pele ho tšolloa ha eona ka botlalo nakong ea molao oa Sontaha.</w:t>
      </w:r>
    </w:p>
    <w:p>
      <w:pPr>
        <w:pStyle w:val="ArticleScripture"/>
        <w:jc w:val="left"/>
      </w:pPr>
      <w:r>
        <w:rPr>
          <w:rFonts w:ascii="Times New Roman" w:hAnsi="Times New Roman" w:eastAsia="Times New Roman" w:cs="Times New Roman"/>
        </w:rPr>
        <w:t>“</w:t>
      </w:r>
      <w:r>
        <w:rPr>
          <w:rFonts w:ascii="Nirmala UI" w:hAnsi="Nirmala UI" w:eastAsia="Nirmala UI" w:cs="Nirmala UI"/>
        </w:rPr>
        <w:t>ᱥᱩᱥᱟᱢᱟᱹᱲᱤ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ᱥᱟᱹᱠᱛᱤᱭᱟᱜ</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ᱠᱚᱢ</w:t>
      </w:r>
      <w:r>
        <w:rPr>
          <w:rFonts w:ascii="Times New Roman" w:hAnsi="Times New Roman" w:eastAsia="Times New Roman" w:cs="Times New Roman"/>
        </w:rPr>
        <w:t xml:space="preserve"> </w:t>
      </w:r>
      <w:r>
        <w:rPr>
          <w:rFonts w:ascii="Nirmala UI" w:hAnsi="Nirmala UI" w:eastAsia="Nirmala UI" w:cs="Nirmala UI"/>
        </w:rPr>
        <w:t>ᱦᱩᱭᱚᱜ</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ᱢᱩᱪᱟᱹᱫᱚᱜᱼᱟ</w:t>
      </w:r>
      <w:r>
        <w:rPr>
          <w:rFonts w:ascii="Times New Roman" w:hAnsi="Times New Roman" w:eastAsia="Times New Roman" w:cs="Times New Roman"/>
        </w:rPr>
        <w:t xml:space="preserve">, </w:t>
      </w:r>
      <w:r>
        <w:rPr>
          <w:rFonts w:ascii="Nirmala UI" w:hAnsi="Nirmala UI" w:eastAsia="Nirmala UI" w:cs="Nirmala UI"/>
        </w:rPr>
        <w:t>ᱡᱮᱞᱮᱠᱟ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ᱡᱮᱭᱟᱜ</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ᱥᱤᱱᱟᱹᱜ</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ᱵᱷᱟᱵᱤᱥᱚᱫᱽᱵᱟᱱᱤ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ᱥᱩᱥᱟᱢᱟᱹᱲᱤᱭᱟᱜ</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ᱨᱤᱢᱤᱞ</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ᱯᱷᱚᱞ</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ᱨᱤᱢᱤᱞ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ᱚᱱᱟᱭᱟᱜ</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ᱯᱩᱨᱟᱹᱣᱚᱜᱼᱟ᱾</w:t>
      </w:r>
      <w:r>
        <w:rPr>
          <w:rFonts w:ascii="Times New Roman" w:hAnsi="Times New Roman" w:eastAsia="Times New Roman" w:cs="Times New Roman"/>
        </w:rPr>
        <w:t xml:space="preserve"> </w:t>
      </w:r>
      <w:r>
        <w:rPr>
          <w:rFonts w:ascii="Nirmala UI" w:hAnsi="Nirmala UI" w:eastAsia="Nirmala UI" w:cs="Nirmala UI"/>
        </w:rPr>
        <w:t>ᱱᱚᱰᱮ</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ᱥᱟᱹᱥᱛᱤᱭᱟᱜ</w:t>
      </w:r>
      <w:r>
        <w:rPr>
          <w:rFonts w:ascii="Times New Roman" w:hAnsi="Times New Roman" w:eastAsia="Times New Roman" w:cs="Times New Roman"/>
        </w:rPr>
        <w:t xml:space="preserve"> </w:t>
      </w:r>
      <w:r>
        <w:rPr>
          <w:rFonts w:ascii="Nirmala UI" w:hAnsi="Nirmala UI" w:eastAsia="Nirmala UI" w:cs="Nirmala UI"/>
        </w:rPr>
        <w:t>ᱡᱚᱢᱚᱜ</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ᱯᱨᱮᱨᱤᱛ</w:t>
      </w:r>
      <w:r>
        <w:rPr>
          <w:rFonts w:ascii="Times New Roman" w:hAnsi="Times New Roman" w:eastAsia="Times New Roman" w:cs="Times New Roman"/>
        </w:rPr>
        <w:t xml:space="preserve"> </w:t>
      </w:r>
      <w:r>
        <w:rPr>
          <w:rFonts w:ascii="Nirmala UI" w:hAnsi="Nirmala UI" w:eastAsia="Nirmala UI" w:cs="Nirmala UI"/>
        </w:rPr>
        <w:t>ᱯᱤᱛᱚᱨ</w:t>
      </w:r>
      <w:r>
        <w:rPr>
          <w:rFonts w:ascii="Times New Roman" w:hAnsi="Times New Roman" w:eastAsia="Times New Roman" w:cs="Times New Roman"/>
        </w:rPr>
        <w:t xml:space="preserve"> </w:t>
      </w:r>
      <w:r>
        <w:rPr>
          <w:rFonts w:ascii="Nirmala UI" w:hAnsi="Nirmala UI" w:eastAsia="Nirmala UI" w:cs="Nirmala UI"/>
        </w:rPr>
        <w:t>ᱟᱸᱜᱟᱹᱜ</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ᱡᱮᱛᱮ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ᱞᱚᱜᱚᱱ</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ᱵᱟᱫᱞᱟᱣ</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ᱨᱩᱣᱟᱹᱲ</w:t>
      </w:r>
      <w:r>
        <w:rPr>
          <w:rFonts w:ascii="Times New Roman" w:hAnsi="Times New Roman" w:eastAsia="Times New Roman" w:cs="Times New Roman"/>
        </w:rPr>
        <w:t xml:space="preserve"> </w:t>
      </w:r>
      <w:r>
        <w:rPr>
          <w:rFonts w:ascii="Nirmala UI" w:hAnsi="Nirmala UI" w:eastAsia="Nirmala UI" w:cs="Nirmala UI"/>
        </w:rPr>
        <w:t>ᱨᱩᱣᱟᱹᱲ</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ᱯᱟᱯ</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ᱥᱟᱹᱥᱛᱤᱭᱟᱜ</w:t>
      </w:r>
      <w:r>
        <w:rPr>
          <w:rFonts w:ascii="Times New Roman" w:hAnsi="Times New Roman" w:eastAsia="Times New Roman" w:cs="Times New Roman"/>
        </w:rPr>
        <w:t xml:space="preserve"> </w:t>
      </w:r>
      <w:r>
        <w:rPr>
          <w:rFonts w:ascii="Nirmala UI" w:hAnsi="Nirmala UI" w:eastAsia="Nirmala UI" w:cs="Nirmala UI"/>
        </w:rPr>
        <w:t>ᱡᱚᱢᱚᱜ</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ᱯᱨᱟᱹᱵᱷᱩᱭᱟᱜ</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ᱦᱤᱡᱩᱜᱼᱟ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ᱡᱤᱥᱩᱠᱚ</w:t>
      </w:r>
      <w:r>
        <w:rPr>
          <w:rFonts w:ascii="Times New Roman" w:hAnsi="Times New Roman" w:eastAsia="Times New Roman" w:cs="Times New Roman"/>
        </w:rPr>
        <w:t xml:space="preserve"> </w:t>
      </w:r>
      <w:r>
        <w:rPr>
          <w:rFonts w:ascii="Nirmala UI" w:hAnsi="Nirmala UI" w:eastAsia="Nirmala UI" w:cs="Nirmala UI"/>
        </w:rPr>
        <w:t>ᱠᱩᱞᱤᱭᱟ।</w:t>
      </w:r>
      <w:r>
        <w:rPr>
          <w:rFonts w:ascii="Times New Roman" w:hAnsi="Times New Roman" w:eastAsia="Times New Roman" w:cs="Times New Roman"/>
        </w:rPr>
        <w:t>’ Acts 3:19, 20.” The Great Controversy, 611, 612.</w:t>
      </w:r>
    </w:p>
    <w:p>
      <w:pPr>
        <w:pStyle w:val="ArticleBody"/>
        <w:jc w:val="left"/>
      </w:pPr>
      <w:r>
        <w:rPr>
          <w:rFonts w:ascii="Times New Roman" w:hAnsi="Times New Roman" w:eastAsia="Times New Roman" w:cs="Times New Roman"/>
        </w:rPr>
        <w:t>Kaganapan na ganap ang katuparan ng mga “panahon ng kaginhawahan” samantalang ikaw ay nabubuhay, sapagkat ang babala ay “magsisi,” na imposibleng gawin kung ikaw ay patay na. Ang mga “panahon ng kaginhawahan” ay dumarating habang ang mga “kasalanan” ng mga kaluluwang buháy ay maaari pang “mapawi”. Ang mga “panahon ng kaginhawahan” ay nagsimula noong 9/11, sa gayon ay ipinakikilala ang pasimula ng paghuhukom sa mga buháy. Ang Pentecostes ay inuulit sa pagsasara ng dispensasyon ng ebanghelyo. Nang dumating ang mga “panahon ng kaginhawahan,” ang mga pangyayaring tinipong-anino sa Pentecostes ay nagsimulang maulit.</w:t>
      </w:r>
    </w:p>
    <w:p>
      <w:pPr>
        <w:pStyle w:val="ArticleScripture"/>
        <w:jc w:val="left"/>
      </w:pPr>
      <w:r>
        <w:rPr>
          <w:rFonts w:ascii="Times New Roman" w:hAnsi="Times New Roman" w:eastAsia="Times New Roman" w:cs="Times New Roman"/>
        </w:rPr>
        <w:t>“Dengan kerinduan yang sungguh-sungguh aku menantikan waktu ketika peristiwa-peristiwa pada hari Pentakosta akan diulangi dengan kuasa yang bahkan lebih besar daripada pada kesempatan itu. Yohanes berkata, ‘Aku melihat seorang malaikat lain turun dari surga, mempunyai kuasa yang besar; dan bumi menjadi terang oleh kemuliaannya.’ Kemudian, seperti pada masa Pentakosta, orang-orang akan mendengar kebenaran diberitakan kepada mereka, setiap orang dalam bahasanya sendiri.</w:t>
      </w:r>
    </w:p>
    <w:p>
      <w:pPr>
        <w:pStyle w:val="ArticleScripture"/>
        <w:jc w:val="left"/>
      </w:pPr>
      <w:r>
        <w:rPr>
          <w:rFonts w:ascii="Times New Roman" w:hAnsi="Times New Roman" w:eastAsia="Times New Roman" w:cs="Times New Roman"/>
        </w:rPr>
        <w:t>“Ngai ka tih thei a ni, A rawngbawl duh tak tak thlarau tinte chu nunthar pein, hmaichhawnṭhum atangin mei nung hmangin hmur a khawih thei a, A fakna sawi tura ṭawngkam tha tak neiin a siam thei. Aw ni loh rawh se, aw tam tak chu Pathian Thu mak takte puang chhuak tura thiltihtheihna neiin an lo khat ang. Ṭawng theih lo deuhte lei chu a lo inhawng ang a, hlau deuh leh zau deuhte chu thutak tana rinawm leh huaisen taka ṭestimony an hlan theih nan chakna pe an ni ang. Lalpa’n A mite hi bawlhhlawh tinreng lak atangin thlarau biak in an tihthianghlim theih nan min ṭanpui se; tin, a lo buatsaih hnuah rain hnuhnung an chan ve theih nan, Ani nen inzawmna hnaih tak an vawn zui theih bawk nan. Review and Herald, July 20, 1886.”</w:t>
      </w:r>
    </w:p>
    <w:p>
      <w:pPr>
        <w:pStyle w:val="ArticleBody"/>
        <w:jc w:val="left"/>
      </w:pPr>
      <w:r>
        <w:rPr>
          <w:rFonts w:ascii="Times New Roman" w:hAnsi="Times New Roman" w:eastAsia="Times New Roman" w:cs="Times New Roman"/>
        </w:rPr>
        <w:t>Kita akan bersambung dalam artikel yang seterusnya.</w:t>
      </w:r>
    </w:p>
    <w:p>
      <w:pPr>
        <w:pStyle w:val="ArticleScripture"/>
        <w:jc w:val="left"/>
      </w:pPr>
      <w:r>
        <w:rPr>
          <w:rFonts w:ascii="Times New Roman" w:hAnsi="Times New Roman" w:eastAsia="Times New Roman" w:cs="Times New Roman"/>
        </w:rPr>
        <w:t>Malaika amenena nami adzabweranso, nandiwusya nga muntu wakuti wawusyiwa mu tulo twakwe. Nipo adandibuuza ati, “Uwona ciani?” Nandi ndati, “Ndalola, ndipo ona, ciyikilo ca nyale conse ca golide, cina beseni pa pamulu pace, na nyale zake ziwiri na ziwiri zili pamenepo, na mapaipi manomwe kuya ku nyale zisanu na ziŵiri ziri pa pamulu pace. Ndipo pali mitengo iŵiri ya maolivi pambali pace, umo pa dzanja lamanzele la beseni, ndipo imo pa dzanja lamacelo lace.”</w:t>
      </w:r>
    </w:p>
    <w:p>
      <w:pPr>
        <w:pStyle w:val="ArticleScripture"/>
        <w:jc w:val="left"/>
      </w:pPr>
      <w:r>
        <w:rPr>
          <w:rFonts w:ascii="Times New Roman" w:hAnsi="Times New Roman" w:eastAsia="Times New Roman" w:cs="Times New Roman"/>
        </w:rPr>
        <w:t>Maka aku menjawab dan berkata kepada malaikat yang berbicara dengan aku, demikian: Apakah ini, tuanku? Lalu malaikat yang berbicara dengan aku itu menjawab dan berkata kepadaku: Tidakkah engkau mengetahui apakah ini? Dan aku berkata: Tidak, tuanku.</w:t>
      </w:r>
    </w:p>
    <w:p>
      <w:pPr>
        <w:pStyle w:val="ArticleScripture"/>
        <w:jc w:val="left"/>
      </w:pPr>
      <w:r>
        <w:rPr>
          <w:rFonts w:ascii="Times New Roman" w:hAnsi="Times New Roman" w:eastAsia="Times New Roman" w:cs="Times New Roman"/>
        </w:rPr>
        <w:t>Maka ia menjawab dan berkata kepadaku, demikian: Inilah firman TUHAN kepada Zerubabel, demikian: Bukan dengan keperkasaan, bukan pula dengan kekuatan, melainkan dengan Roh-Ku, firman TUHAN semesta alam. Zakharia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Joele le Kereke ya Masala ya Supa ya Laodisea - Nomoro ya Nngwe</dc:title>
  <dc:subject>Kūm-adwene a ɛwɔ hɔ mprempren no ho sɔhwɛ</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