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Buka ea Joele le Kereke ea Bo-Seventh-day Adventist ea Laodisea — Nomoro ea Mashome a Mabeli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2025-12-26</w:t>
      </w:r>
    </w:p>
    <w:p>
      <w:pPr>
        <w:pStyle w:val="ArticleHeading"/>
        <w:jc w:val="left"/>
      </w:pPr>
      <w:r>
        <w:rPr>
          <w:rFonts w:ascii="Arial" w:hAnsi="Arial" w:eastAsia="Arial" w:cs="Arial"/>
        </w:rPr>
        <w:t>Hamba nke Iri Abụọ</w:t>
      </w:r>
    </w:p>
    <w:p>
      <w:pPr>
        <w:pStyle w:val="ArticleBody"/>
        <w:jc w:val="left"/>
      </w:pPr>
      <w:r>
        <w:rPr>
          <w:rFonts w:ascii="Times New Roman" w:hAnsi="Times New Roman" w:eastAsia="Times New Roman" w:cs="Times New Roman"/>
        </w:rPr>
        <w:t>Buku Yoel mengenal pasti bahawa kebinasaan kebun anggur Tuhan berlaku pada generasi keempat.</w:t>
      </w:r>
    </w:p>
    <w:p>
      <w:pPr>
        <w:pStyle w:val="ArticleScripture"/>
        <w:jc w:val="left"/>
      </w:pPr>
      <w:r>
        <w:rPr>
          <w:rFonts w:ascii="Times New Roman" w:hAnsi="Times New Roman" w:eastAsia="Times New Roman" w:cs="Times New Roman"/>
        </w:rPr>
        <w:t>Mambo ga Jehofa lawa ya ta eka Yuwele, n’wana wa Pethuwele.</w:t>
      </w:r>
    </w:p>
    <w:p>
      <w:pPr>
        <w:pStyle w:val="ArticleScripture"/>
        <w:jc w:val="left"/>
      </w:pPr>
      <w:r>
        <w:rPr>
          <w:rFonts w:ascii="Times New Roman" w:hAnsi="Times New Roman" w:eastAsia="Times New Roman" w:cs="Times New Roman"/>
        </w:rPr>
        <w:t>Dengarlah ini, hai orang-orang tua, dan pasanglah telinga, hai semua penduduk negeri. Pernahkah hal ini terjadi pada zamanmu, atau bahkan pada zaman nenek moyangmu? Ceritakanlah hal itu kepada anak-anakmu, dan biarlah anak-anakmu menceritakannya kepada anak-anak mereka, dan anak-anak mereka kepada angkatan yang lain.</w:t>
      </w:r>
    </w:p>
    <w:p>
      <w:pPr>
        <w:pStyle w:val="ArticleScripture"/>
        <w:jc w:val="left"/>
      </w:pPr>
      <w:r>
        <w:rPr>
          <w:rFonts w:ascii="Times New Roman" w:hAnsi="Times New Roman" w:eastAsia="Times New Roman" w:cs="Times New Roman"/>
        </w:rPr>
        <w:t>Se se neng se tlogetswe ke seboko sa palema, se ne sa jewa ke tsie; mme se se neng se tlogetswe ke tsie, sa jewa ke seboko sa cankerworm; mme se se neng se tlogetswe ke seboko sa cankerworm, sa jewa ke seboko sa caterpiller.</w:t>
      </w:r>
    </w:p>
    <w:p>
      <w:pPr>
        <w:pStyle w:val="ArticleScripture"/>
        <w:jc w:val="left"/>
      </w:pPr>
      <w:r>
        <w:rPr>
          <w:rFonts w:ascii="Times New Roman" w:hAnsi="Times New Roman" w:eastAsia="Times New Roman" w:cs="Times New Roman"/>
        </w:rPr>
        <w:t>Tsohang, lona ba tagilweng, mme lo lele; lo bokolle, lona lotlhe ba ba nwang beine, ka ntlha ya beine e ntšhwa; gonne e kgaotswe mo melomong ya lona. Joele 1:1–5.</w:t>
      </w:r>
    </w:p>
    <w:p>
      <w:pPr>
        <w:pStyle w:val="ArticleBody"/>
        <w:jc w:val="left"/>
      </w:pPr>
      <w:r>
        <w:rPr>
          <w:rFonts w:ascii="Times New Roman" w:hAnsi="Times New Roman" w:eastAsia="Times New Roman" w:cs="Times New Roman"/>
        </w:rPr>
        <w:t>Kisah perumpamaan tentang sepuluh dara itu ialah perumpamaan tentang Adventisme, dan kebangkitan dalam perumpamaan itu berlaku apabila gandum dan lalang dipisahkan; pada ketika itu, lalang tersedar akan hakikat bahawa mereka telah “diputuskan” daripada “air anggur yang baharu.” Ungkapan “diputuskan” melambangkan langkah pertama perjanjian Abram, ketika seekor lembu betina, kambing betina, dan domba jantan dibelah dua dalam upacara untuk mengesahkan perjanjian itu dengan darah. Dalam petikan perjanjian yang sama itu, Tuhan menyatakan bahawa Dia akan melawat umat-Nya dalam penghakiman pada generasi yang keempat.</w:t>
      </w:r>
    </w:p>
    <w:p>
      <w:pPr>
        <w:pStyle w:val="ArticleScripture"/>
        <w:jc w:val="left"/>
      </w:pPr>
      <w:r>
        <w:rPr>
          <w:rFonts w:ascii="Times New Roman" w:hAnsi="Times New Roman" w:eastAsia="Times New Roman" w:cs="Times New Roman"/>
        </w:rPr>
        <w:t>Ka jing ong U ha u Abram, “To tip skhem ba u symbai jong me un long u nongwei ha ka ri kaba ym dei ka jong ki, bad kin shakri ïa ki; bad kin pynshitom ïa ki saw spah snem; bad ïa kata ka jaitbynriew ruh, ïa kaba kin shakri, ngan bishar; bad hadien kata kin mih noh ryngkat bad ka spah kaba khraw. Bad ma me, men leit sha ki kpa jong me ha ka jingïasuk; yn tep ïa me ha ka jingïathuh tymmen kaba bha. Hynrei ha ka pateng kaba saw kin wan phai biang sha kane ka jaka: naba ka pop jong ki Amorait kam pat dap.” Jenesis 15:13–16.</w:t>
      </w:r>
    </w:p>
    <w:p>
      <w:pPr>
        <w:pStyle w:val="ArticleBody"/>
        <w:jc w:val="left"/>
      </w:pPr>
      <w:r>
        <w:rPr>
          <w:rFonts w:ascii="Times New Roman" w:hAnsi="Times New Roman" w:eastAsia="Times New Roman" w:cs="Times New Roman"/>
        </w:rPr>
        <w:t>Apabila nubuat itu digenapi pada generasi keempat, iaitu pada generasi Musa, Tuhan mengemukakan Sepuluh Perintah sebagai lambang perjanjian antara Allah dengan umat pilihan-Nya. Dalam perintah yang kedua daripada sepuluh hukum itu, terang empat generasi Abram diperbesarkan.</w:t>
      </w:r>
    </w:p>
    <w:p>
      <w:pPr>
        <w:pStyle w:val="ArticleScripture"/>
        <w:jc w:val="left"/>
      </w:pPr>
      <w:r>
        <w:rPr>
          <w:rFonts w:ascii="Times New Roman" w:hAnsi="Times New Roman" w:eastAsia="Times New Roman" w:cs="Times New Roman"/>
        </w:rPr>
        <w:t>Ukawiya te kupanga usambano ali onse ongafanana na chinthu ciri cose cili kudzulu pamwambapa, peno ciri cose cili pa dziko lapansi pansipa, peno ciri cose cili m’manzi pansi pa dziko lapansi: ukawiya te kugwadira izo, peno kuzitumikira: pakuti Ine Yehova Mulungu wako ndine Mulungu wansanje, wolanga mphulupulu za makolo pa ana kufikira mbadwo wacitatu na wacinai wa iwo amene anidana Ine; ndipo kuonetsa cifundo kwa zikwi za iwo amene anikonda Ine, na kusunga malamulo anga. Eksodo 20:4–6.</w:t>
      </w:r>
    </w:p>
    <w:p>
      <w:pPr>
        <w:pStyle w:val="ArticleBody"/>
        <w:jc w:val="left"/>
      </w:pPr>
      <w:r>
        <w:rPr>
          <w:rFonts w:ascii="Times New Roman" w:hAnsi="Times New Roman" w:eastAsia="Times New Roman" w:cs="Times New Roman"/>
        </w:rPr>
        <w:t>Cuatro generaciones del pacto de Abram fueron incorporadas en la magnificación del carácter de Dios como Dios celoso. Su celo se contrasta con las imágenes talladas. En la cuarta generación de Abram también encontramos un juicio progresivo. El juicio recayó sobre la nación donde el pueblo de Dios estaba en servidumbre, así como sobre el pueblo de Dios, y después de eso, los amorreos serían juzgados. Abram identifica un proceso de juicio progresivo que comienza con la casa de Dios y avanza progresivamente por el mundo, y el segundo mandamiento identifica que el proceso de juicio divide a la humanidad en una clase de los que aborrecen a Dios y una clase de los que aman a Dios, tipificando así la ley dominical que proclama a gran voz: «Si me amáis, guardad mis mandamientos.»</w:t>
      </w:r>
    </w:p>
    <w:p>
      <w:pPr>
        <w:pStyle w:val="ArticleBody"/>
        <w:jc w:val="left"/>
      </w:pPr>
      <w:r>
        <w:rPr>
          <w:rFonts w:ascii="Times New Roman" w:hAnsi="Times New Roman" w:eastAsia="Times New Roman" w:cs="Times New Roman"/>
        </w:rPr>
        <w:t>Ka nako e tšoanang eo Molao o neng o fanoa Sinai, Moshe o bontšoa semelo sa Molimo.</w:t>
      </w:r>
    </w:p>
    <w:p>
      <w:pPr>
        <w:pStyle w:val="ArticleScripture"/>
        <w:jc w:val="left"/>
      </w:pPr>
      <w:r>
        <w:rPr>
          <w:rFonts w:ascii="Times New Roman" w:hAnsi="Times New Roman" w:eastAsia="Times New Roman" w:cs="Times New Roman"/>
        </w:rPr>
        <w:t>Tuhan berfirman kepada Musa, “Pahatlah bagimu dua loh batu seperti yang pertama; dan Aku akan menuliskan pada loh-loh ini perkataan-perkataan yang ada pada loh yang pertama, yang telah kaupecahkan. Bersiaplah pada pagi hari, lalu naiklah pada pagi hari itu ke gunung Sinai, dan berdirilah di sana di hadapan-Ku di puncak gunung itu. Janganlah seorang pun naik bersama engkau, dan janganlah seorang pun terlihat di seluruh gunung itu; juga kawanan kambing domba maupun lembu sapi janganlah makan rumput di depan gunung itu.”</w:t>
      </w:r>
    </w:p>
    <w:p>
      <w:pPr>
        <w:pStyle w:val="ArticleScripture"/>
        <w:jc w:val="left"/>
      </w:pPr>
      <w:r>
        <w:rPr>
          <w:rFonts w:ascii="Times New Roman" w:hAnsi="Times New Roman" w:eastAsia="Times New Roman" w:cs="Times New Roman"/>
        </w:rPr>
        <w:t>Maka dia memahat dua loh batu seperti yang pertama; lalu Musa bangun pagi-pagi benar, dan naik ke Gunung Sinai, seperti yang telah diperintahkan Tuhan kepadanya, serta membawa dalam tangannya kedua loh batu itu. Lalu Tuhan turun dalam awan dan berdiri di sana bersama dia, serta memaklumkan nama Tuhan. Dan Tuhan lewat di hadapannya, lalu berseru,</w:t>
      </w:r>
    </w:p>
    <w:p>
      <w:pPr>
        <w:pStyle w:val="ArticleScripture"/>
        <w:jc w:val="left"/>
      </w:pPr>
      <w:r>
        <w:rPr>
          <w:rFonts w:ascii="Times New Roman" w:hAnsi="Times New Roman" w:eastAsia="Times New Roman" w:cs="Times New Roman"/>
        </w:rPr>
        <w:t>Tuhan, TUHAN Allah, penuh belas kasihan dan rahmat, panjang sabar, dan berlimpah dalam kebaikan dan kebenaran, yang menaruh kasih setia bagi beribu-ribu orang, yang mengampuni kesalahan, pelanggaran, dan dosa, tetapi sekali-kali tidak membebaskan orang yang bersalah; yang membalaskan kesalahan bapa-bapa kepada anak-anaknya, dan kepada anak-anak dari anak-anaknya, sampai kepada keturunan yang ketiga dan yang keempat.</w:t>
      </w:r>
    </w:p>
    <w:p>
      <w:pPr>
        <w:pStyle w:val="ArticleScripture"/>
        <w:jc w:val="left"/>
      </w:pPr>
      <w:r>
        <w:rPr>
          <w:rFonts w:ascii="Times New Roman" w:hAnsi="Times New Roman" w:eastAsia="Times New Roman" w:cs="Times New Roman"/>
        </w:rPr>
        <w:t>Musa segera bergegas, lalu sujud menyembah ke tanah dan beribadah. Maka berkatalah ia, “Jika sekarang aku telah mendapat kasih karunia di hadapan-Mu, ya Tuhan, biarlah kiranya Tuhanku berjalan di tengah-tengah kami; sebab bangsa ini adalah bangsa yang tegar tengkuk; ampunilah kesalahan kami dan dosa kami, dan terimalah kami menjadi milik pusaka-Mu.” Keluaran 34:1–9.</w:t>
      </w:r>
    </w:p>
    <w:p>
      <w:pPr>
        <w:pStyle w:val="ArticleBody"/>
        <w:jc w:val="left"/>
      </w:pPr>
      <w:r>
        <w:rPr>
          <w:rFonts w:ascii="Nirmala UI" w:hAnsi="Nirmala UI" w:eastAsia="Nirmala UI" w:cs="Nirmala UI"/>
        </w:rPr>
        <w:t>ᱟᱹᱜᱮᱫ</w:t>
      </w:r>
      <w:r>
        <w:rPr>
          <w:rFonts w:ascii="Times New Roman" w:hAnsi="Times New Roman" w:eastAsia="Times New Roman" w:cs="Times New Roman"/>
        </w:rPr>
        <w:t xml:space="preserve"> </w:t>
      </w:r>
      <w:r>
        <w:rPr>
          <w:rFonts w:ascii="Nirmala UI" w:hAnsi="Nirmala UI" w:eastAsia="Nirmala UI" w:cs="Nirmala UI"/>
        </w:rPr>
        <w:t>ᱫᱟᱹᱱ</w:t>
      </w:r>
      <w:r>
        <w:rPr>
          <w:rFonts w:ascii="Times New Roman" w:hAnsi="Times New Roman" w:eastAsia="Times New Roman" w:cs="Times New Roman"/>
        </w:rPr>
        <w:t xml:space="preserve"> </w:t>
      </w:r>
      <w:r>
        <w:rPr>
          <w:rFonts w:ascii="Nirmala UI" w:hAnsi="Nirmala UI" w:eastAsia="Nirmala UI" w:cs="Nirmala UI"/>
        </w:rPr>
        <w:t>ᱦᱚᱨ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ᱪᱟᱹᱫᱟᱣ</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1850 </w:t>
      </w:r>
      <w:r>
        <w:rPr>
          <w:rFonts w:ascii="Nirmala UI" w:hAnsi="Nirmala UI" w:eastAsia="Nirmala UI" w:cs="Nirmala UI"/>
        </w:rPr>
        <w:t>ᱯᱟᱭᱚᱱᱤᱭᱟᱨ</w:t>
      </w:r>
      <w:r>
        <w:rPr>
          <w:rFonts w:ascii="Times New Roman" w:hAnsi="Times New Roman" w:eastAsia="Times New Roman" w:cs="Times New Roman"/>
        </w:rPr>
        <w:t xml:space="preserve"> </w:t>
      </w:r>
      <w:r>
        <w:rPr>
          <w:rFonts w:ascii="Nirmala UI" w:hAnsi="Nirmala UI" w:eastAsia="Nirmala UI" w:cs="Nirmala UI"/>
        </w:rPr>
        <w:t>ᱪᱟᱨᱴ</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ᱢᱮᱞ</w:t>
      </w:r>
      <w:r>
        <w:rPr>
          <w:rFonts w:ascii="Times New Roman" w:hAnsi="Times New Roman" w:eastAsia="Times New Roman" w:cs="Times New Roman"/>
        </w:rPr>
        <w:t xml:space="preserve"> </w:t>
      </w:r>
      <w:r>
        <w:rPr>
          <w:rFonts w:ascii="Nirmala UI" w:hAnsi="Nirmala UI" w:eastAsia="Nirmala UI" w:cs="Nirmala UI"/>
        </w:rPr>
        <w:t>ᱮᱫᱟᱭᱟ᱾</w:t>
      </w:r>
      <w:r>
        <w:rPr>
          <w:rFonts w:ascii="Times New Roman" w:hAnsi="Times New Roman" w:eastAsia="Times New Roman" w:cs="Times New Roman"/>
        </w:rPr>
        <w:t xml:space="preserve"> </w:t>
      </w:r>
      <w:r>
        <w:rPr>
          <w:rFonts w:ascii="Nirmala UI" w:hAnsi="Nirmala UI" w:eastAsia="Nirmala UI" w:cs="Nirmala UI"/>
        </w:rPr>
        <w:t>ᱯᱳᱭᱞᱚ</w:t>
      </w:r>
      <w:r>
        <w:rPr>
          <w:rFonts w:ascii="Times New Roman" w:hAnsi="Times New Roman" w:eastAsia="Times New Roman" w:cs="Times New Roman"/>
        </w:rPr>
        <w:t xml:space="preserve"> </w:t>
      </w:r>
      <w:r>
        <w:rPr>
          <w:rFonts w:ascii="Nirmala UI" w:hAnsi="Nirmala UI" w:eastAsia="Nirmala UI" w:cs="Nirmala UI"/>
        </w:rPr>
        <w:t>ᱯᱟᱴᱤᱭᱟᱹᱜ</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ᱵᱷᱮᱜᱟᱨ</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ᱯᱳᱭᱞᱚ</w:t>
      </w:r>
      <w:r>
        <w:rPr>
          <w:rFonts w:ascii="Times New Roman" w:hAnsi="Times New Roman" w:eastAsia="Times New Roman" w:cs="Times New Roman"/>
        </w:rPr>
        <w:t xml:space="preserve"> </w:t>
      </w:r>
      <w:r>
        <w:rPr>
          <w:rFonts w:ascii="Nirmala UI" w:hAnsi="Nirmala UI" w:eastAsia="Nirmala UI" w:cs="Nirmala UI"/>
        </w:rPr>
        <w:t>ᱯᱟᱴᱤᱭᱟᱹᱜ</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ᱜᱚᱱᱚᱝ</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ᱛᱚᱱᱠᱟ</w:t>
      </w:r>
      <w:r>
        <w:rPr>
          <w:rFonts w:ascii="Times New Roman" w:hAnsi="Times New Roman" w:eastAsia="Times New Roman" w:cs="Times New Roman"/>
        </w:rPr>
        <w:t xml:space="preserve"> </w:t>
      </w:r>
      <w:r>
        <w:rPr>
          <w:rFonts w:ascii="Nirmala UI" w:hAnsi="Nirmala UI" w:eastAsia="Nirmala UI" w:cs="Nirmala UI"/>
        </w:rPr>
        <w:t>ᱯᱩᱨᱟᱹᱛᱟᱹᱱ</w:t>
      </w:r>
      <w:r>
        <w:rPr>
          <w:rFonts w:ascii="Times New Roman" w:hAnsi="Times New Roman" w:eastAsia="Times New Roman" w:cs="Times New Roman"/>
        </w:rPr>
        <w:t xml:space="preserve"> </w:t>
      </w:r>
      <w:r>
        <w:rPr>
          <w:rFonts w:ascii="Nirmala UI" w:hAnsi="Nirmala UI" w:eastAsia="Nirmala UI" w:cs="Nirmala UI"/>
        </w:rPr>
        <w:t>ᱤᱥᱨᱟᱭᱮᱞ</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ᱡᱚᱢᱟᱣᱟᱜ</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ᱱᱟᱶᱟ</w:t>
      </w:r>
      <w:r>
        <w:rPr>
          <w:rFonts w:ascii="Times New Roman" w:hAnsi="Times New Roman" w:eastAsia="Times New Roman" w:cs="Times New Roman"/>
        </w:rPr>
        <w:t xml:space="preserve"> </w:t>
      </w:r>
      <w:r>
        <w:rPr>
          <w:rFonts w:ascii="Nirmala UI" w:hAnsi="Nirmala UI" w:eastAsia="Nirmala UI" w:cs="Nirmala UI"/>
        </w:rPr>
        <w:t>ᱤᱥᱨᱟᱭᱮᱞ</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ᱯᱷᱚᱨᱚᱯᱷᱮᱴᱤᱠ</w:t>
      </w:r>
      <w:r>
        <w:rPr>
          <w:rFonts w:ascii="Times New Roman" w:hAnsi="Times New Roman" w:eastAsia="Times New Roman" w:cs="Times New Roman"/>
        </w:rPr>
        <w:t xml:space="preserve"> </w:t>
      </w:r>
      <w:r>
        <w:rPr>
          <w:rFonts w:ascii="Nirmala UI" w:hAnsi="Nirmala UI" w:eastAsia="Nirmala UI" w:cs="Nirmala UI"/>
        </w:rPr>
        <w:t>ᱣᱟᱹᱠᱭ</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ᱚᱱᱚᱞ</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ᱡᱚᱢᱟᱣᱟᱜ</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ᱛᱮᱭᱟᱨ</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ᱡᱚᱜ</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ᱮᱱ</w:t>
      </w:r>
      <w:r>
        <w:rPr>
          <w:rFonts w:ascii="Times New Roman" w:hAnsi="Times New Roman" w:eastAsia="Times New Roman" w:cs="Times New Roman"/>
        </w:rPr>
        <w:t xml:space="preserve"> </w:t>
      </w:r>
      <w:r>
        <w:rPr>
          <w:rFonts w:ascii="Nirmala UI" w:hAnsi="Nirmala UI" w:eastAsia="Nirmala UI" w:cs="Nirmala UI"/>
        </w:rPr>
        <w:t>ᱵᱟᱨ</w:t>
      </w:r>
      <w:r>
        <w:rPr>
          <w:rFonts w:ascii="Times New Roman" w:hAnsi="Times New Roman" w:eastAsia="Times New Roman" w:cs="Times New Roman"/>
        </w:rPr>
        <w:t xml:space="preserve"> </w:t>
      </w:r>
      <w:r>
        <w:rPr>
          <w:rFonts w:ascii="Nirmala UI" w:hAnsi="Nirmala UI" w:eastAsia="Nirmala UI" w:cs="Nirmala UI"/>
        </w:rPr>
        <w:t>ᱯᱟᱴᱤᱭᱟᱹᱜ</w:t>
      </w:r>
      <w:r>
        <w:rPr>
          <w:rFonts w:ascii="Times New Roman" w:hAnsi="Times New Roman" w:eastAsia="Times New Roman" w:cs="Times New Roman"/>
        </w:rPr>
        <w:t xml:space="preserve"> </w:t>
      </w:r>
      <w:r>
        <w:rPr>
          <w:rFonts w:ascii="Nirmala UI" w:hAnsi="Nirmala UI" w:eastAsia="Nirmala UI" w:cs="Nirmala UI"/>
        </w:rPr>
        <w:t>ᱯᱳᱭᱞᱚ</w:t>
      </w:r>
      <w:r>
        <w:rPr>
          <w:rFonts w:ascii="Times New Roman" w:hAnsi="Times New Roman" w:eastAsia="Times New Roman" w:cs="Times New Roman"/>
        </w:rPr>
        <w:t xml:space="preserve"> </w:t>
      </w:r>
      <w:r>
        <w:rPr>
          <w:rFonts w:ascii="Nirmala UI" w:hAnsi="Nirmala UI" w:eastAsia="Nirmala UI" w:cs="Nirmala UI"/>
        </w:rPr>
        <w:t>ᱩᱯᱩᱱ</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ᱛᱚ</w:t>
      </w:r>
      <w:r>
        <w:rPr>
          <w:rFonts w:ascii="Times New Roman" w:hAnsi="Times New Roman" w:eastAsia="Times New Roman" w:cs="Times New Roman"/>
        </w:rPr>
        <w:t xml:space="preserve"> </w:t>
      </w:r>
      <w:r>
        <w:rPr>
          <w:rFonts w:ascii="Nirmala UI" w:hAnsi="Nirmala UI" w:eastAsia="Nirmala UI" w:cs="Nirmala UI"/>
        </w:rPr>
        <w:t>ᱰᱮᱨᱮ</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ᱵᱤᱫᱨᱚᱦ</w:t>
      </w:r>
      <w:r>
        <w:rPr>
          <w:rFonts w:ascii="Times New Roman" w:hAnsi="Times New Roman" w:eastAsia="Times New Roman" w:cs="Times New Roman"/>
        </w:rPr>
        <w:t xml:space="preserve"> </w:t>
      </w:r>
      <w:r>
        <w:rPr>
          <w:rFonts w:ascii="Nirmala UI" w:hAnsi="Nirmala UI" w:eastAsia="Nirmala UI" w:cs="Nirmala UI"/>
        </w:rPr>
        <w:t>ᱛᱟᱦᱮᱸᱱᱟ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1850 </w:t>
      </w:r>
      <w:r>
        <w:rPr>
          <w:rFonts w:ascii="Nirmala UI" w:hAnsi="Nirmala UI" w:eastAsia="Nirmala UI" w:cs="Nirmala UI"/>
        </w:rPr>
        <w:t>ᱪᱟᱨᱴ</w:t>
      </w:r>
      <w:r>
        <w:rPr>
          <w:rFonts w:ascii="Times New Roman" w:hAnsi="Times New Roman" w:eastAsia="Times New Roman" w:cs="Times New Roman"/>
        </w:rPr>
        <w:t xml:space="preserve"> </w:t>
      </w:r>
      <w:r>
        <w:rPr>
          <w:rFonts w:ascii="Nirmala UI" w:hAnsi="Nirmala UI" w:eastAsia="Nirmala UI" w:cs="Nirmala UI"/>
        </w:rPr>
        <w:t>ᱡᱚᱜ</w:t>
      </w:r>
      <w:r>
        <w:rPr>
          <w:rFonts w:ascii="Times New Roman" w:hAnsi="Times New Roman" w:eastAsia="Times New Roman" w:cs="Times New Roman"/>
        </w:rPr>
        <w:t xml:space="preserve"> </w:t>
      </w:r>
      <w:r>
        <w:rPr>
          <w:rFonts w:ascii="Nirmala UI" w:hAnsi="Nirmala UI" w:eastAsia="Nirmala UI" w:cs="Nirmala UI"/>
        </w:rPr>
        <w:t>ᱩᱯᱩᱱ</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ᱛᱚ</w:t>
      </w:r>
      <w:r>
        <w:rPr>
          <w:rFonts w:ascii="Times New Roman" w:hAnsi="Times New Roman" w:eastAsia="Times New Roman" w:cs="Times New Roman"/>
        </w:rPr>
        <w:t xml:space="preserve"> </w:t>
      </w:r>
      <w:r>
        <w:rPr>
          <w:rFonts w:ascii="Nirmala UI" w:hAnsi="Nirmala UI" w:eastAsia="Nirmala UI" w:cs="Nirmala UI"/>
        </w:rPr>
        <w:t>ᱰᱮᱨᱮ</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ᱟᱫᱽᱭᱟᱛᱢᱤᱠ</w:t>
      </w:r>
      <w:r>
        <w:rPr>
          <w:rFonts w:ascii="Times New Roman" w:hAnsi="Times New Roman" w:eastAsia="Times New Roman" w:cs="Times New Roman"/>
        </w:rPr>
        <w:t xml:space="preserve"> </w:t>
      </w:r>
      <w:r>
        <w:rPr>
          <w:rFonts w:ascii="Nirmala UI" w:hAnsi="Nirmala UI" w:eastAsia="Nirmala UI" w:cs="Nirmala UI"/>
        </w:rPr>
        <w:t>ᱵᱤᱫᱨᱚᱦ</w:t>
      </w:r>
      <w:r>
        <w:rPr>
          <w:rFonts w:ascii="Times New Roman" w:hAnsi="Times New Roman" w:eastAsia="Times New Roman" w:cs="Times New Roman"/>
        </w:rPr>
        <w:t xml:space="preserve"> </w:t>
      </w:r>
      <w:r>
        <w:rPr>
          <w:rFonts w:ascii="Nirmala UI" w:hAnsi="Nirmala UI" w:eastAsia="Nirmala UI" w:cs="Nirmala UI"/>
        </w:rPr>
        <w:t>ᱵᱩᱞ</w:t>
      </w:r>
      <w:r>
        <w:rPr>
          <w:rFonts w:ascii="Times New Roman" w:hAnsi="Times New Roman" w:eastAsia="Times New Roman" w:cs="Times New Roman"/>
        </w:rPr>
        <w:t xml:space="preserve"> </w:t>
      </w:r>
      <w:r>
        <w:rPr>
          <w:rFonts w:ascii="Nirmala UI" w:hAnsi="Nirmala UI" w:eastAsia="Nirmala UI" w:cs="Nirmala UI"/>
        </w:rPr>
        <w:t>ᱮᱫᱟᱭᱟ᱾</w:t>
      </w:r>
      <w:r>
        <w:rPr>
          <w:rFonts w:ascii="Times New Roman" w:hAnsi="Times New Roman" w:eastAsia="Times New Roman" w:cs="Times New Roman"/>
        </w:rPr>
        <w:t xml:space="preserve"> </w:t>
      </w:r>
      <w:r>
        <w:rPr>
          <w:rFonts w:ascii="Nirmala UI" w:hAnsi="Nirmala UI" w:eastAsia="Nirmala UI" w:cs="Nirmala UI"/>
        </w:rPr>
        <w:t>ᱟᱵᱨᱟᱢᱟᱜ</w:t>
      </w:r>
      <w:r>
        <w:rPr>
          <w:rFonts w:ascii="Times New Roman" w:hAnsi="Times New Roman" w:eastAsia="Times New Roman" w:cs="Times New Roman"/>
        </w:rPr>
        <w:t xml:space="preserve"> </w:t>
      </w:r>
      <w:r>
        <w:rPr>
          <w:rFonts w:ascii="Nirmala UI" w:hAnsi="Nirmala UI" w:eastAsia="Nirmala UI" w:cs="Nirmala UI"/>
        </w:rPr>
        <w:t>ᱪᱟᱹᱨ</w:t>
      </w:r>
      <w:r>
        <w:rPr>
          <w:rFonts w:ascii="Times New Roman" w:hAnsi="Times New Roman" w:eastAsia="Times New Roman" w:cs="Times New Roman"/>
        </w:rPr>
        <w:t xml:space="preserve"> </w:t>
      </w:r>
      <w:r>
        <w:rPr>
          <w:rFonts w:ascii="Nirmala UI" w:hAnsi="Nirmala UI" w:eastAsia="Nirmala UI" w:cs="Nirmala UI"/>
        </w:rPr>
        <w:t>ᱯᱩᱥᱛᱟᱹᱣ</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ᱯᱷᱚᱨᱚᱯᱷᱮᱥᱤ</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ᱢᱳᱥᱮ</w:t>
      </w:r>
      <w:r>
        <w:rPr>
          <w:rFonts w:ascii="Times New Roman" w:hAnsi="Times New Roman" w:eastAsia="Times New Roman" w:cs="Times New Roman"/>
        </w:rPr>
        <w:t xml:space="preserve"> </w:t>
      </w:r>
      <w:r>
        <w:rPr>
          <w:rFonts w:ascii="Nirmala UI" w:hAnsi="Nirmala UI" w:eastAsia="Nirmala UI" w:cs="Nirmala UI"/>
        </w:rPr>
        <w:t>ᱫᱚᱨᱟᱭ</w:t>
      </w:r>
      <w:r>
        <w:rPr>
          <w:rFonts w:ascii="Times New Roman" w:hAnsi="Times New Roman" w:eastAsia="Times New Roman" w:cs="Times New Roman"/>
        </w:rPr>
        <w:t xml:space="preserve"> </w:t>
      </w:r>
      <w:r>
        <w:rPr>
          <w:rFonts w:ascii="Nirmala UI" w:hAnsi="Nirmala UI" w:eastAsia="Nirmala UI" w:cs="Nirmala UI"/>
        </w:rPr>
        <w:t>ᱪᱟᱹᱨ</w:t>
      </w:r>
      <w:r>
        <w:rPr>
          <w:rFonts w:ascii="Times New Roman" w:hAnsi="Times New Roman" w:eastAsia="Times New Roman" w:cs="Times New Roman"/>
        </w:rPr>
        <w:t xml:space="preserve"> </w:t>
      </w:r>
      <w:r>
        <w:rPr>
          <w:rFonts w:ascii="Nirmala UI" w:hAnsi="Nirmala UI" w:eastAsia="Nirmala UI" w:cs="Nirmala UI"/>
        </w:rPr>
        <w:t>ᱯᱩᱥᱛᱟᱹᱣ</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ᱯᱩᱨᱟᱹᱣ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ᱳᱱᱰᱮ</w:t>
      </w:r>
      <w:r>
        <w:rPr>
          <w:rFonts w:ascii="Times New Roman" w:hAnsi="Times New Roman" w:eastAsia="Times New Roman" w:cs="Times New Roman"/>
        </w:rPr>
        <w:t xml:space="preserve"> </w:t>
      </w:r>
      <w:r>
        <w:rPr>
          <w:rFonts w:ascii="Nirmala UI" w:hAnsi="Nirmala UI" w:eastAsia="Nirmala UI" w:cs="Nirmala UI"/>
        </w:rPr>
        <w:t>ᱤᱥᱚᱨ</w:t>
      </w:r>
      <w:r>
        <w:rPr>
          <w:rFonts w:ascii="Times New Roman" w:hAnsi="Times New Roman" w:eastAsia="Times New Roman" w:cs="Times New Roman"/>
        </w:rPr>
        <w:t xml:space="preserve"> </w:t>
      </w:r>
      <w:r>
        <w:rPr>
          <w:rFonts w:ascii="Nirmala UI" w:hAnsi="Nirmala UI" w:eastAsia="Nirmala UI" w:cs="Nirmala UI"/>
        </w:rPr>
        <w:t>ᱪᱟᱹᱨ</w:t>
      </w:r>
      <w:r>
        <w:rPr>
          <w:rFonts w:ascii="Times New Roman" w:hAnsi="Times New Roman" w:eastAsia="Times New Roman" w:cs="Times New Roman"/>
        </w:rPr>
        <w:t xml:space="preserve"> </w:t>
      </w:r>
      <w:r>
        <w:rPr>
          <w:rFonts w:ascii="Nirmala UI" w:hAnsi="Nirmala UI" w:eastAsia="Nirmala UI" w:cs="Nirmala UI"/>
        </w:rPr>
        <w:t>ᱯᱩᱥᱛᱟᱹᱣ</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ᱵᱤᱪᱟᱨ</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ᱢᱟᱨᱟᱝ</w:t>
      </w:r>
      <w:r>
        <w:rPr>
          <w:rFonts w:ascii="Times New Roman" w:hAnsi="Times New Roman" w:eastAsia="Times New Roman" w:cs="Times New Roman"/>
        </w:rPr>
        <w:t xml:space="preserve"> </w:t>
      </w:r>
      <w:r>
        <w:rPr>
          <w:rFonts w:ascii="Nirmala UI" w:hAnsi="Nirmala UI" w:eastAsia="Nirmala UI" w:cs="Nirmala UI"/>
        </w:rPr>
        <w:t>ᱠᱮᱫᱟᱭᱟ</w:t>
      </w:r>
      <w:r>
        <w:rPr>
          <w:rFonts w:ascii="Times New Roman" w:hAnsi="Times New Roman" w:eastAsia="Times New Roman" w:cs="Times New Roman"/>
        </w:rPr>
        <w:t xml:space="preserve"> </w:t>
      </w:r>
      <w:r>
        <w:rPr>
          <w:rFonts w:ascii="Nirmala UI" w:hAnsi="Nirmala UI" w:eastAsia="Nirmala UI" w:cs="Nirmala UI"/>
        </w:rPr>
        <w:t>ᱫᱚᱥᱨᱟ</w:t>
      </w:r>
      <w:r>
        <w:rPr>
          <w:rFonts w:ascii="Times New Roman" w:hAnsi="Times New Roman" w:eastAsia="Times New Roman" w:cs="Times New Roman"/>
        </w:rPr>
        <w:t xml:space="preserve"> </w:t>
      </w:r>
      <w:r>
        <w:rPr>
          <w:rFonts w:ascii="Nirmala UI" w:hAnsi="Nirmala UI" w:eastAsia="Nirmala UI" w:cs="Nirmala UI"/>
        </w:rPr>
        <w:t>ᱟᱫᱮᱥ</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ᱢᱩᱨᱛᱤ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ᱥᱮᱣᱟ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ᱱᱚᱠᱚᱞ</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ᱪᱮᱛᱟᱱᱟᱹᱜ</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ᱵᱤᱪᱟᱨ</w:t>
      </w:r>
      <w:r>
        <w:rPr>
          <w:rFonts w:ascii="Times New Roman" w:hAnsi="Times New Roman" w:eastAsia="Times New Roman" w:cs="Times New Roman"/>
        </w:rPr>
        <w:t xml:space="preserve"> </w:t>
      </w:r>
      <w:r>
        <w:rPr>
          <w:rFonts w:ascii="Nirmala UI" w:hAnsi="Nirmala UI" w:eastAsia="Nirmala UI" w:cs="Nirmala UI"/>
        </w:rPr>
        <w:t>ᱥᱟᱶ</w:t>
      </w:r>
      <w:r>
        <w:rPr>
          <w:rFonts w:ascii="Times New Roman" w:hAnsi="Times New Roman" w:eastAsia="Times New Roman" w:cs="Times New Roman"/>
        </w:rPr>
        <w:t xml:space="preserve"> </w:t>
      </w:r>
      <w:r>
        <w:rPr>
          <w:rFonts w:ascii="Nirmala UI" w:hAnsi="Nirmala UI" w:eastAsia="Nirmala UI" w:cs="Nirmala UI"/>
        </w:rPr>
        <w:t>ᱡᱚᱲᱟᱣ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ᱛᱚᱱ</w:t>
      </w:r>
      <w:r>
        <w:rPr>
          <w:rFonts w:ascii="Times New Roman" w:hAnsi="Times New Roman" w:eastAsia="Times New Roman" w:cs="Times New Roman"/>
        </w:rPr>
        <w:t xml:space="preserve"> </w:t>
      </w:r>
      <w:r>
        <w:rPr>
          <w:rFonts w:ascii="Nirmala UI" w:hAnsi="Nirmala UI" w:eastAsia="Nirmala UI" w:cs="Nirmala UI"/>
        </w:rPr>
        <w:t>ᱢᱳᱥᱮ</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ᱢᱟᱦᱤᱢᱟ</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ᱠᱮᱫᱟᱭᱟ᱾</w:t>
      </w:r>
      <w:r>
        <w:rPr>
          <w:rFonts w:ascii="Times New Roman" w:hAnsi="Times New Roman" w:eastAsia="Times New Roman" w:cs="Times New Roman"/>
        </w:rPr>
        <w:t xml:space="preserve"> </w:t>
      </w:r>
      <w:r>
        <w:rPr>
          <w:rFonts w:ascii="Nirmala UI" w:hAnsi="Nirmala UI" w:eastAsia="Nirmala UI" w:cs="Nirmala UI"/>
        </w:rPr>
        <w:t>ᱩᱱᱤ</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ᱪᱮᱛᱟᱱᱟᱹᱜ</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ᱤᱥᱚᱨᱟᱜ</w:t>
      </w:r>
      <w:r>
        <w:rPr>
          <w:rFonts w:ascii="Times New Roman" w:hAnsi="Times New Roman" w:eastAsia="Times New Roman" w:cs="Times New Roman"/>
        </w:rPr>
        <w:t xml:space="preserve"> </w:t>
      </w:r>
      <w:r>
        <w:rPr>
          <w:rFonts w:ascii="Nirmala UI" w:hAnsi="Nirmala UI" w:eastAsia="Nirmala UI" w:cs="Nirmala UI"/>
        </w:rPr>
        <w:t>ᱪᱟᱹᱨᱤᱛᱨᱚ</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ᱜᱩᱱ</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ᱠᱮᱫᱟᱭᱟ</w:t>
      </w:r>
      <w:r>
        <w:rPr>
          <w:rFonts w:ascii="Times New Roman" w:hAnsi="Times New Roman" w:eastAsia="Times New Roman" w:cs="Times New Roman"/>
        </w:rPr>
        <w:t xml:space="preserve">, </w:t>
      </w:r>
      <w:r>
        <w:rPr>
          <w:rFonts w:ascii="Nirmala UI" w:hAnsi="Nirmala UI" w:eastAsia="Nirmala UI" w:cs="Nirmala UI"/>
        </w:rPr>
        <w:t>ᱡᱮᱛᱟ</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“name”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ᱩᱫᱽᱫᱤᱥᱴ</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ᱥᱮᱣᱟᱠ</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ᱩᱱᱤᱭᱟᱜ</w:t>
      </w:r>
      <w:r>
        <w:rPr>
          <w:rFonts w:ascii="Times New Roman" w:hAnsi="Times New Roman" w:eastAsia="Times New Roman" w:cs="Times New Roman"/>
        </w:rPr>
        <w:t xml:space="preserve"> </w:t>
      </w:r>
      <w:r>
        <w:rPr>
          <w:rFonts w:ascii="Nirmala UI" w:hAnsi="Nirmala UI" w:eastAsia="Nirmala UI" w:cs="Nirmala UI"/>
        </w:rPr>
        <w:t>ᱟᱹᱯᱩ</w:t>
      </w:r>
      <w:r>
        <w:rPr>
          <w:rFonts w:ascii="Times New Roman" w:hAnsi="Times New Roman" w:eastAsia="Times New Roman" w:cs="Times New Roman"/>
        </w:rPr>
        <w:t>-</w:t>
      </w:r>
      <w:r>
        <w:rPr>
          <w:rFonts w:ascii="Nirmala UI" w:hAnsi="Nirmala UI" w:eastAsia="Nirmala UI" w:cs="Nirmala UI"/>
        </w:rPr>
        <w:t>ᱟᱯᱟ</w:t>
      </w:r>
      <w:r>
        <w:rPr>
          <w:rFonts w:ascii="Times New Roman" w:hAnsi="Times New Roman" w:eastAsia="Times New Roman" w:cs="Times New Roman"/>
        </w:rPr>
        <w:t xml:space="preserve"> </w:t>
      </w:r>
      <w:r>
        <w:rPr>
          <w:rFonts w:ascii="Nirmala UI" w:hAnsi="Nirmala UI" w:eastAsia="Nirmala UI" w:cs="Nirmala UI"/>
        </w:rPr>
        <w:t>ᱠᱚᱣᱟᱜ</w:t>
      </w:r>
      <w:r>
        <w:rPr>
          <w:rFonts w:ascii="Times New Roman" w:hAnsi="Times New Roman" w:eastAsia="Times New Roman" w:cs="Times New Roman"/>
        </w:rPr>
        <w:t xml:space="preserve"> </w:t>
      </w:r>
      <w:r>
        <w:rPr>
          <w:rFonts w:ascii="Nirmala UI" w:hAnsi="Nirmala UI" w:eastAsia="Nirmala UI" w:cs="Nirmala UI"/>
        </w:rPr>
        <w:t>ᱯᱟᱯ</w:t>
      </w:r>
      <w:r>
        <w:rPr>
          <w:rFonts w:ascii="Times New Roman" w:hAnsi="Times New Roman" w:eastAsia="Times New Roman" w:cs="Times New Roman"/>
        </w:rPr>
        <w:t xml:space="preserve"> </w:t>
      </w:r>
      <w:r>
        <w:rPr>
          <w:rFonts w:ascii="Nirmala UI" w:hAnsi="Nirmala UI" w:eastAsia="Nirmala UI" w:cs="Nirmala UI"/>
        </w:rPr>
        <w:t>ᱛᱟᱞᱟ</w:t>
      </w:r>
      <w:r>
        <w:rPr>
          <w:rFonts w:ascii="Times New Roman" w:hAnsi="Times New Roman" w:eastAsia="Times New Roman" w:cs="Times New Roman"/>
        </w:rPr>
        <w:t xml:space="preserve"> </w:t>
      </w:r>
      <w:r>
        <w:rPr>
          <w:rFonts w:ascii="Nirmala UI" w:hAnsi="Nirmala UI" w:eastAsia="Nirmala UI" w:cs="Nirmala UI"/>
        </w:rPr>
        <w:t>ᱨᱮᱭᱟᱜ</w:t>
      </w:r>
      <w:r>
        <w:rPr>
          <w:rFonts w:ascii="Times New Roman" w:hAnsi="Times New Roman" w:eastAsia="Times New Roman" w:cs="Times New Roman"/>
        </w:rPr>
        <w:t xml:space="preserve"> </w:t>
      </w:r>
      <w:r>
        <w:rPr>
          <w:rFonts w:ascii="Nirmala UI" w:hAnsi="Nirmala UI" w:eastAsia="Nirmala UI" w:cs="Nirmala UI"/>
        </w:rPr>
        <w:t>ᱥᱚᱢᱵᱚᱱᱫᱷ</w:t>
      </w:r>
      <w:r>
        <w:rPr>
          <w:rFonts w:ascii="Times New Roman" w:hAnsi="Times New Roman" w:eastAsia="Times New Roman" w:cs="Times New Roman"/>
        </w:rPr>
        <w:t xml:space="preserve"> </w:t>
      </w:r>
      <w:r>
        <w:rPr>
          <w:rFonts w:ascii="Nirmala UI" w:hAnsi="Nirmala UI" w:eastAsia="Nirmala UI" w:cs="Nirmala UI"/>
        </w:rPr>
        <w:t>ᱯᱨᱚᱠᱟᱥ</w:t>
      </w:r>
      <w:r>
        <w:rPr>
          <w:rFonts w:ascii="Times New Roman" w:hAnsi="Times New Roman" w:eastAsia="Times New Roman" w:cs="Times New Roman"/>
        </w:rPr>
        <w:t xml:space="preserve"> </w:t>
      </w:r>
      <w:r>
        <w:rPr>
          <w:rFonts w:ascii="Nirmala UI" w:hAnsi="Nirmala UI" w:eastAsia="Nirmala UI" w:cs="Nirmala UI"/>
        </w:rPr>
        <w:t>ᱮᱱᱟ᱾</w:t>
      </w:r>
    </w:p>
    <w:p>
      <w:pPr>
        <w:pStyle w:val="ArticleBody"/>
        <w:jc w:val="left"/>
      </w:pPr>
      <w:r>
        <w:rPr>
          <w:rFonts w:ascii="Times New Roman" w:hAnsi="Times New Roman" w:eastAsia="Times New Roman" w:cs="Times New Roman"/>
        </w:rPr>
        <w:t>Nako Kriisto teempeli yore ngenda eke yiandeka, bano bayekuru baawe bakarokerwa mbu obwizu bw’inzu Ye bwamurya. “Obwizu” ni ekigambo “obwihatiro bw’obughyali.” Embebeka ya Ruhanga eraga obwihatiro Bwe obw’obughyali, ni yo nsonga eyareetera Kriisto kweza teempeli Ye, kandi omwoyo gw’obunabbi ogw’obwetaago bw’okwatura ebibi eby’ba shoimwe, gwabaho bwanyima kuba ekintu eky’omugasho munonga mu kuranga okw’okwegarukamu mu rubanja rw’“emirundi musanvu” rwa Abaleevi abiri na mukaaga. “Omuzukulwana ogw’okuna” gwa Abramu gukura gukomera kandi gukwata oburemezi bwingi nk’oku gukwendelea mu byafaayo by’endagaano. Ekitabo kya Yoeri kiraga obwire bw’enkuba ey’ahamuheru, eibaho mu biro by’ahamuheru. Ekitabo kya Yoeri kiteera obutumwa bwakyo ku kutandikaho kw’okuleeta obutumwa bw’emiganda ena, nk’omutwe ogwahandiikirwe mu mutendera gw’okubanza gw’endagaano ya Abramu ey’emitendera eshatu na Ruhanga. Omutwe ogwo gusinga ku musozo gwagwo mu kitabo kya Yoeri.</w:t>
      </w:r>
    </w:p>
    <w:p>
      <w:pPr>
        <w:pStyle w:val="ArticleBody"/>
        <w:jc w:val="left"/>
      </w:pPr>
      <w:r>
        <w:rPr>
          <w:rFonts w:ascii="Times New Roman" w:hAnsi="Times New Roman" w:eastAsia="Times New Roman" w:cs="Times New Roman"/>
        </w:rPr>
        <w:t>Selepas berada di Tanah Perjanjian, Tabut perjanjian ditempatkan di Silo, di mana Eli, imam besar yang jahat dan bodoh, serta dua orang anak lelakinya yang fasik, diperhadapkan dengan panggilan Samuel. Silo akan menjadi satu tahap dalam perjalanan Tabut itu, yang merupakan lambang perjanjian. Sesudah Tabut itu digunakan sebagai lambang yang meruntuhkan tembok Yerikho, ia ditempatkan di Silo selama kira-kira empat ratus tahun, sehingga kematian Eli dan anak-anak lelakinya yang jahat. Kemudian Tabut itu dirampas oleh orang Filistin, dan sesudah itu, apabila Daud memindahkan Tabut itu ke Yerusalem, terlaksanalah gambaran pertama tentang kemasukan kemenangan ke dalam Yerusalem. Tujuan yang dinyatakan bagi pemindahan lambang perjanjian itu ke Yerusalem ialah bahawa Allah telah memilih untuk meletakkan nama-Nya di Yerusalem, dan nama-Nya dikaitkan dengan kecemburuan-Nya, yang dikaitkan dengan penghakiman-Nya yang cemburu pada keturunan yang keempat.</w:t>
      </w:r>
    </w:p>
    <w:p>
      <w:pPr>
        <w:pStyle w:val="ArticleBody"/>
        <w:jc w:val="left"/>
      </w:pPr>
      <w:r>
        <w:rPr>
          <w:rFonts w:ascii="Times New Roman" w:hAnsi="Times New Roman" w:eastAsia="Times New Roman" w:cs="Times New Roman"/>
        </w:rPr>
        <w:t>Pada masa undang-undang hari Ahad, Tuhan akan meninggikan gereja yang menang mengatasi segala bukit dan gunung, dan bangsa-bangsa bukan Yahudi akan berkata, “Mari, marilah kita pergi ke rumah Tuhan.”</w:t>
      </w:r>
    </w:p>
    <w:p>
      <w:pPr>
        <w:pStyle w:val="ArticleScripture"/>
        <w:jc w:val="left"/>
      </w:pPr>
      <w:r>
        <w:rPr>
          <w:rFonts w:ascii="Times New Roman" w:hAnsi="Times New Roman" w:eastAsia="Times New Roman" w:cs="Times New Roman"/>
        </w:rPr>
        <w:t>“Pada hari-hari terakhir akan terjadi, bahawa gunung rumah TUHAN akan ditegakkan di puncak gunung-gunung, dan akan ditinggikan mengatasi bukit-bukit; dan segala bangsa akan mengalir kepadanya. Dan banyak bangsa akan pergi serta berkata, Marilah, dan biarlah kita naik ke gunung TUHAN, ke rumah Allah Yakub; maka Dia akan mengajar kita tentang jalan-jalan-Nya, dan kita akan berjalan di lorong-lorong-Nya; kerana dari Sion akan keluar hukum, dan firman TUHAN dari Yerusalem.” Yesaya 2:2, 3.</w:t>
      </w:r>
    </w:p>
    <w:p>
      <w:pPr>
        <w:pStyle w:val="ArticleBody"/>
        <w:jc w:val="left"/>
      </w:pPr>
      <w:r>
        <w:rPr>
          <w:rFonts w:ascii="Times New Roman" w:hAnsi="Times New Roman" w:eastAsia="Times New Roman" w:cs="Times New Roman"/>
        </w:rPr>
        <w:t>Firman Tuhan keluar dari Yerusalem, kerana di sanalah Dia telah memilih untuk meletakkan “nama”-Nya. Bersama Musa, “Tuhan turun dalam awan itu, lalu berdiri di sana bersama-sama dengannya, dan memberitakan nama Tuhan. Maka Tuhan lalu di hadapannya, dan berseru,</w:t>
      </w:r>
    </w:p>
    <w:p>
      <w:pPr>
        <w:pStyle w:val="ArticleScripture"/>
        <w:jc w:val="left"/>
      </w:pPr>
      <w:r>
        <w:rPr>
          <w:rFonts w:ascii="Microsoft YaHei" w:hAnsi="Microsoft YaHei" w:eastAsia="Microsoft YaHei" w:cs="Microsoft YaHei"/>
        </w:rPr>
        <w:t>主、主</w:t>
      </w:r>
      <w:r>
        <w:rPr>
          <w:rFonts w:ascii="MS Gothic" w:hAnsi="MS Gothic" w:eastAsia="MS Gothic" w:cs="MS Gothic"/>
        </w:rPr>
        <w:t>なる</w:t>
      </w:r>
      <w:r>
        <w:rPr>
          <w:rFonts w:ascii="Microsoft YaHei" w:hAnsi="Microsoft YaHei" w:eastAsia="Microsoft YaHei" w:cs="Microsoft YaHei"/>
        </w:rPr>
        <w:t>神、</w:t>
      </w:r>
      <w:r>
        <w:rPr>
          <w:rFonts w:ascii="MS Gothic" w:hAnsi="MS Gothic" w:eastAsia="MS Gothic" w:cs="MS Gothic"/>
        </w:rPr>
        <w:t>あわれみ</w:t>
      </w:r>
      <w:r>
        <w:rPr>
          <w:rFonts w:ascii="Microsoft YaHei" w:hAnsi="Microsoft YaHei" w:eastAsia="Microsoft YaHei" w:cs="Microsoft YaHei"/>
        </w:rPr>
        <w:t>深</w:t>
      </w:r>
      <w:r>
        <w:rPr>
          <w:rFonts w:ascii="MS Gothic" w:hAnsi="MS Gothic" w:eastAsia="MS Gothic" w:cs="MS Gothic"/>
        </w:rPr>
        <w:t>く</w:t>
      </w:r>
      <w:r>
        <w:rPr>
          <w:rFonts w:ascii="Microsoft YaHei" w:hAnsi="Microsoft YaHei" w:eastAsia="Microsoft YaHei" w:cs="Microsoft YaHei"/>
        </w:rPr>
        <w:t>、恵</w:t>
      </w:r>
      <w:r>
        <w:rPr>
          <w:rFonts w:ascii="MS Gothic" w:hAnsi="MS Gothic" w:eastAsia="MS Gothic" w:cs="MS Gothic"/>
        </w:rPr>
        <w:t>みに</w:t>
      </w:r>
      <w:r>
        <w:rPr>
          <w:rFonts w:ascii="Microsoft YaHei" w:hAnsi="Microsoft YaHei" w:eastAsia="Microsoft YaHei" w:cs="Microsoft YaHei"/>
        </w:rPr>
        <w:t>富</w:t>
      </w:r>
      <w:r>
        <w:rPr>
          <w:rFonts w:ascii="MS Gothic" w:hAnsi="MS Gothic" w:eastAsia="MS Gothic" w:cs="MS Gothic"/>
        </w:rPr>
        <w:t>み</w:t>
      </w:r>
      <w:r>
        <w:rPr>
          <w:rFonts w:ascii="Microsoft YaHei" w:hAnsi="Microsoft YaHei" w:eastAsia="Microsoft YaHei" w:cs="Microsoft YaHei"/>
        </w:rPr>
        <w:t>、忍耐強</w:t>
      </w:r>
      <w:r>
        <w:rPr>
          <w:rFonts w:ascii="MS Gothic" w:hAnsi="MS Gothic" w:eastAsia="MS Gothic" w:cs="MS Gothic"/>
        </w:rPr>
        <w:t>く</w:t>
      </w:r>
      <w:r>
        <w:rPr>
          <w:rFonts w:ascii="Microsoft YaHei" w:hAnsi="Microsoft YaHei" w:eastAsia="Microsoft YaHei" w:cs="Microsoft YaHei"/>
        </w:rPr>
        <w:t>、慈</w:t>
      </w:r>
      <w:r>
        <w:rPr>
          <w:rFonts w:ascii="MS Gothic" w:hAnsi="MS Gothic" w:eastAsia="MS Gothic" w:cs="MS Gothic"/>
        </w:rPr>
        <w:t>しみと</w:t>
      </w:r>
      <w:r>
        <w:rPr>
          <w:rFonts w:ascii="Microsoft YaHei" w:hAnsi="Microsoft YaHei" w:eastAsia="Microsoft YaHei" w:cs="Microsoft YaHei"/>
        </w:rPr>
        <w:t>真実</w:t>
      </w:r>
      <w:r>
        <w:rPr>
          <w:rFonts w:ascii="MS Gothic" w:hAnsi="MS Gothic" w:eastAsia="MS Gothic" w:cs="MS Gothic"/>
        </w:rPr>
        <w:t>とに</w:t>
      </w:r>
      <w:r>
        <w:rPr>
          <w:rFonts w:ascii="Microsoft YaHei" w:hAnsi="Microsoft YaHei" w:eastAsia="Microsoft YaHei" w:cs="Microsoft YaHei"/>
        </w:rPr>
        <w:t>満</w:t>
      </w:r>
      <w:r>
        <w:rPr>
          <w:rFonts w:ascii="MS Gothic" w:hAnsi="MS Gothic" w:eastAsia="MS Gothic" w:cs="MS Gothic"/>
        </w:rPr>
        <w:t>ち</w:t>
      </w:r>
      <w:r>
        <w:rPr>
          <w:rFonts w:ascii="Microsoft YaHei" w:hAnsi="Microsoft YaHei" w:eastAsia="Microsoft YaHei" w:cs="Microsoft YaHei"/>
        </w:rPr>
        <w:t>、幾千代</w:t>
      </w:r>
      <w:r>
        <w:rPr>
          <w:rFonts w:ascii="MS Gothic" w:hAnsi="MS Gothic" w:eastAsia="MS Gothic" w:cs="MS Gothic"/>
        </w:rPr>
        <w:t>にわたってあわれみを</w:t>
      </w:r>
      <w:r>
        <w:rPr>
          <w:rFonts w:ascii="Microsoft YaHei" w:hAnsi="Microsoft YaHei" w:eastAsia="Microsoft YaHei" w:cs="Microsoft YaHei"/>
        </w:rPr>
        <w:t>保</w:t>
      </w:r>
      <w:r>
        <w:rPr>
          <w:rFonts w:ascii="MS Gothic" w:hAnsi="MS Gothic" w:eastAsia="MS Gothic" w:cs="MS Gothic"/>
        </w:rPr>
        <w:t>ち</w:t>
      </w:r>
      <w:r>
        <w:rPr>
          <w:rFonts w:ascii="Microsoft YaHei" w:hAnsi="Microsoft YaHei" w:eastAsia="Microsoft YaHei" w:cs="Microsoft YaHei"/>
        </w:rPr>
        <w:t>、不義</w:t>
      </w:r>
      <w:r>
        <w:rPr>
          <w:rFonts w:ascii="MS Gothic" w:hAnsi="MS Gothic" w:eastAsia="MS Gothic" w:cs="MS Gothic"/>
        </w:rPr>
        <w:t>と</w:t>
      </w:r>
      <w:r>
        <w:rPr>
          <w:rFonts w:ascii="Microsoft YaHei" w:hAnsi="Microsoft YaHei" w:eastAsia="Microsoft YaHei" w:cs="Microsoft YaHei"/>
        </w:rPr>
        <w:t>背</w:t>
      </w:r>
      <w:r>
        <w:rPr>
          <w:rFonts w:ascii="MS Gothic" w:hAnsi="MS Gothic" w:eastAsia="MS Gothic" w:cs="MS Gothic"/>
        </w:rPr>
        <w:t>きと</w:t>
      </w:r>
      <w:r>
        <w:rPr>
          <w:rFonts w:ascii="Microsoft YaHei" w:hAnsi="Microsoft YaHei" w:eastAsia="Microsoft YaHei" w:cs="Microsoft YaHei"/>
        </w:rPr>
        <w:t>罪</w:t>
      </w:r>
      <w:r>
        <w:rPr>
          <w:rFonts w:ascii="MS Gothic" w:hAnsi="MS Gothic" w:eastAsia="MS Gothic" w:cs="MS Gothic"/>
        </w:rPr>
        <w:t>とを</w:t>
      </w:r>
      <w:r>
        <w:rPr>
          <w:rFonts w:ascii="Microsoft YaHei" w:hAnsi="Microsoft YaHei" w:eastAsia="Microsoft YaHei" w:cs="Microsoft YaHei"/>
        </w:rPr>
        <w:t>赦</w:t>
      </w:r>
      <w:r>
        <w:rPr>
          <w:rFonts w:ascii="MS Gothic" w:hAnsi="MS Gothic" w:eastAsia="MS Gothic" w:cs="MS Gothic"/>
        </w:rPr>
        <w:t>すが</w:t>
      </w:r>
      <w:r>
        <w:rPr>
          <w:rFonts w:ascii="Microsoft YaHei" w:hAnsi="Microsoft YaHei" w:eastAsia="Microsoft YaHei" w:cs="Microsoft YaHei"/>
        </w:rPr>
        <w:t>、決</w:t>
      </w:r>
      <w:r>
        <w:rPr>
          <w:rFonts w:ascii="MS Gothic" w:hAnsi="MS Gothic" w:eastAsia="MS Gothic" w:cs="MS Gothic"/>
        </w:rPr>
        <w:t>して</w:t>
      </w:r>
      <w:r>
        <w:rPr>
          <w:rFonts w:ascii="Microsoft YaHei" w:hAnsi="Microsoft YaHei" w:eastAsia="Microsoft YaHei" w:cs="Microsoft YaHei"/>
        </w:rPr>
        <w:t>罰</w:t>
      </w:r>
      <w:r>
        <w:rPr>
          <w:rFonts w:ascii="MS Gothic" w:hAnsi="MS Gothic" w:eastAsia="MS Gothic" w:cs="MS Gothic"/>
        </w:rPr>
        <w:t>すべき</w:t>
      </w:r>
      <w:r>
        <w:rPr>
          <w:rFonts w:ascii="Microsoft YaHei" w:hAnsi="Microsoft YaHei" w:eastAsia="Microsoft YaHei" w:cs="Microsoft YaHei"/>
        </w:rPr>
        <w:t>者</w:t>
      </w:r>
      <w:r>
        <w:rPr>
          <w:rFonts w:ascii="MS Gothic" w:hAnsi="MS Gothic" w:eastAsia="MS Gothic" w:cs="MS Gothic"/>
        </w:rPr>
        <w:t>を</w:t>
      </w:r>
      <w:r>
        <w:rPr>
          <w:rFonts w:ascii="Microsoft YaHei" w:hAnsi="Microsoft YaHei" w:eastAsia="Microsoft YaHei" w:cs="Microsoft YaHei"/>
        </w:rPr>
        <w:t>無罪</w:t>
      </w:r>
      <w:r>
        <w:rPr>
          <w:rFonts w:ascii="MS Gothic" w:hAnsi="MS Gothic" w:eastAsia="MS Gothic" w:cs="MS Gothic"/>
        </w:rPr>
        <w:t>にはされず</w:t>
      </w:r>
      <w:r>
        <w:rPr>
          <w:rFonts w:ascii="Microsoft YaHei" w:hAnsi="Microsoft YaHei" w:eastAsia="Microsoft YaHei" w:cs="Microsoft YaHei"/>
        </w:rPr>
        <w:t>、父</w:t>
      </w:r>
      <w:r>
        <w:rPr>
          <w:rFonts w:ascii="MS Gothic" w:hAnsi="MS Gothic" w:eastAsia="MS Gothic" w:cs="MS Gothic"/>
        </w:rPr>
        <w:t>たちの</w:t>
      </w:r>
      <w:r>
        <w:rPr>
          <w:rFonts w:ascii="Microsoft YaHei" w:hAnsi="Microsoft YaHei" w:eastAsia="Microsoft YaHei" w:cs="Microsoft YaHei"/>
        </w:rPr>
        <w:t>不義</w:t>
      </w:r>
      <w:r>
        <w:rPr>
          <w:rFonts w:ascii="MS Gothic" w:hAnsi="MS Gothic" w:eastAsia="MS Gothic" w:cs="MS Gothic"/>
        </w:rPr>
        <w:t>を</w:t>
      </w:r>
      <w:r>
        <w:rPr>
          <w:rFonts w:ascii="Microsoft YaHei" w:hAnsi="Microsoft YaHei" w:eastAsia="Microsoft YaHei" w:cs="Microsoft YaHei"/>
        </w:rPr>
        <w:t>子</w:t>
      </w:r>
      <w:r>
        <w:rPr>
          <w:rFonts w:ascii="MS Gothic" w:hAnsi="MS Gothic" w:eastAsia="MS Gothic" w:cs="MS Gothic"/>
        </w:rPr>
        <w:t>らに</w:t>
      </w:r>
      <w:r>
        <w:rPr>
          <w:rFonts w:ascii="Microsoft YaHei" w:hAnsi="Microsoft YaHei" w:eastAsia="Microsoft YaHei" w:cs="Microsoft YaHei"/>
        </w:rPr>
        <w:t>、</w:t>
      </w:r>
      <w:r>
        <w:rPr>
          <w:rFonts w:ascii="MS Gothic" w:hAnsi="MS Gothic" w:eastAsia="MS Gothic" w:cs="MS Gothic"/>
        </w:rPr>
        <w:t>また</w:t>
      </w:r>
      <w:r>
        <w:rPr>
          <w:rFonts w:ascii="Microsoft YaHei" w:hAnsi="Microsoft YaHei" w:eastAsia="Microsoft YaHei" w:cs="Microsoft YaHei"/>
        </w:rPr>
        <w:t>子</w:t>
      </w:r>
      <w:r>
        <w:rPr>
          <w:rFonts w:ascii="MS Gothic" w:hAnsi="MS Gothic" w:eastAsia="MS Gothic" w:cs="MS Gothic"/>
        </w:rPr>
        <w:t>らの</w:t>
      </w:r>
      <w:r>
        <w:rPr>
          <w:rFonts w:ascii="Microsoft YaHei" w:hAnsi="Microsoft YaHei" w:eastAsia="Microsoft YaHei" w:cs="Microsoft YaHei"/>
        </w:rPr>
        <w:t>子</w:t>
      </w:r>
      <w:r>
        <w:rPr>
          <w:rFonts w:ascii="MS Gothic" w:hAnsi="MS Gothic" w:eastAsia="MS Gothic" w:cs="MS Gothic"/>
        </w:rPr>
        <w:t>らに</w:t>
      </w:r>
      <w:r>
        <w:rPr>
          <w:rFonts w:ascii="Microsoft YaHei" w:hAnsi="Microsoft YaHei" w:eastAsia="Microsoft YaHei" w:cs="Microsoft YaHei"/>
        </w:rPr>
        <w:t>、三代、四代</w:t>
      </w:r>
      <w:r>
        <w:rPr>
          <w:rFonts w:ascii="MS Gothic" w:hAnsi="MS Gothic" w:eastAsia="MS Gothic" w:cs="MS Gothic"/>
        </w:rPr>
        <w:t>にまで</w:t>
      </w:r>
      <w:r>
        <w:rPr>
          <w:rFonts w:ascii="Microsoft YaHei" w:hAnsi="Microsoft YaHei" w:eastAsia="Microsoft YaHei" w:cs="Microsoft YaHei"/>
        </w:rPr>
        <w:t>報</w:t>
      </w:r>
      <w:r>
        <w:rPr>
          <w:rFonts w:ascii="MS Gothic" w:hAnsi="MS Gothic" w:eastAsia="MS Gothic" w:cs="MS Gothic"/>
        </w:rPr>
        <w:t>いられる</w:t>
      </w:r>
      <w:r>
        <w:rPr>
          <w:rFonts w:ascii="Times New Roman" w:hAnsi="Times New Roman" w:eastAsia="Times New Roman" w:cs="Times New Roman"/>
        </w:rPr>
        <w:t>.</w:t>
      </w:r>
      <w:r>
        <w:rPr>
          <w:rFonts w:ascii="Microsoft YaHei" w:hAnsi="Microsoft YaHei" w:eastAsia="Microsoft YaHei" w:cs="Microsoft YaHei"/>
        </w:rPr>
        <w:t>出</w:t>
      </w:r>
      <w:r>
        <w:rPr>
          <w:rFonts w:ascii="MS Gothic" w:hAnsi="MS Gothic" w:eastAsia="MS Gothic" w:cs="MS Gothic"/>
        </w:rPr>
        <w:t>エジプト</w:t>
      </w:r>
      <w:r>
        <w:rPr>
          <w:rFonts w:ascii="Microsoft YaHei" w:hAnsi="Microsoft YaHei" w:eastAsia="Microsoft YaHei" w:cs="Microsoft YaHei"/>
        </w:rPr>
        <w:t>記</w:t>
      </w:r>
      <w:r>
        <w:rPr>
          <w:rFonts w:ascii="Times New Roman" w:hAnsi="Times New Roman" w:eastAsia="Times New Roman" w:cs="Times New Roman"/>
        </w:rPr>
        <w:t xml:space="preserve"> 34:6, 7.</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ឈ្មោះ</w:t>
      </w:r>
      <w:r>
        <w:rPr>
          <w:rFonts w:ascii="Times New Roman" w:hAnsi="Times New Roman" w:eastAsia="Times New Roman" w:cs="Times New Roman"/>
        </w:rPr>
        <w:t xml:space="preserve">” </w:t>
      </w:r>
      <w:r>
        <w:rPr>
          <w:rFonts w:ascii="Leelawadee UI" w:hAnsi="Leelawadee UI" w:eastAsia="Leelawadee UI" w:cs="Leelawadee UI"/>
        </w:rPr>
        <w:t>របស់ទ្រង់</w:t>
      </w:r>
      <w:r>
        <w:rPr>
          <w:rFonts w:ascii="Times New Roman" w:hAnsi="Times New Roman" w:eastAsia="Times New Roman" w:cs="Times New Roman"/>
        </w:rPr>
        <w:t xml:space="preserve"> </w:t>
      </w:r>
      <w:r>
        <w:rPr>
          <w:rFonts w:ascii="Leelawadee UI" w:hAnsi="Leelawadee UI" w:eastAsia="Leelawadee UI" w:cs="Leelawadee UI"/>
        </w:rPr>
        <w:t>គឺជាលក្ខណៈរបស់ទ្រង់</w:t>
      </w:r>
      <w:r>
        <w:rPr>
          <w:rFonts w:ascii="Times New Roman" w:hAnsi="Times New Roman" w:eastAsia="Times New Roman" w:cs="Times New Roman"/>
        </w:rPr>
        <w:t xml:space="preserve"> </w:t>
      </w:r>
      <w:r>
        <w:rPr>
          <w:rFonts w:ascii="Leelawadee UI" w:hAnsi="Leelawadee UI" w:eastAsia="Leelawadee UI" w:cs="Leelawadee UI"/>
        </w:rPr>
        <w:t>ហើយលក្ខណៈរបស់ព្រះជាម្ចាស់</w:t>
      </w:r>
      <w:r>
        <w:rPr>
          <w:rFonts w:ascii="Times New Roman" w:hAnsi="Times New Roman" w:eastAsia="Times New Roman" w:cs="Times New Roman"/>
        </w:rPr>
        <w:t xml:space="preserve"> </w:t>
      </w:r>
      <w:r>
        <w:rPr>
          <w:rFonts w:ascii="Leelawadee UI" w:hAnsi="Leelawadee UI" w:eastAsia="Leelawadee UI" w:cs="Leelawadee UI"/>
        </w:rPr>
        <w:t>មានទាំងជម្រៅស្មុគស្មាញយ៉ាងខ្លាំង</w:t>
      </w:r>
      <w:r>
        <w:rPr>
          <w:rFonts w:ascii="Times New Roman" w:hAnsi="Times New Roman" w:eastAsia="Times New Roman" w:cs="Times New Roman"/>
        </w:rPr>
        <w:t xml:space="preserve"> </w:t>
      </w:r>
      <w:r>
        <w:rPr>
          <w:rFonts w:ascii="Leelawadee UI" w:hAnsi="Leelawadee UI" w:eastAsia="Leelawadee UI" w:cs="Leelawadee UI"/>
        </w:rPr>
        <w:t>និងមានភាពសាមញ្ញយ៉ាងខ្លាំង។</w:t>
      </w:r>
      <w:r>
        <w:rPr>
          <w:rFonts w:ascii="Times New Roman" w:hAnsi="Times New Roman" w:eastAsia="Times New Roman" w:cs="Times New Roman"/>
        </w:rPr>
        <w:t xml:space="preserve"> </w:t>
      </w:r>
      <w:r>
        <w:rPr>
          <w:rFonts w:ascii="Leelawadee UI" w:hAnsi="Leelawadee UI" w:eastAsia="Leelawadee UI" w:cs="Leelawadee UI"/>
        </w:rPr>
        <w:t>ព្រះជាម្ចាស់គឺជាសេចក្តីស្រឡាញ់</w:t>
      </w:r>
      <w:r>
        <w:rPr>
          <w:rFonts w:ascii="Times New Roman" w:hAnsi="Times New Roman" w:eastAsia="Times New Roman" w:cs="Times New Roman"/>
        </w:rPr>
        <w:t xml:space="preserve"> </w:t>
      </w:r>
      <w:r>
        <w:rPr>
          <w:rFonts w:ascii="Leelawadee UI" w:hAnsi="Leelawadee UI" w:eastAsia="Leelawadee UI" w:cs="Leelawadee UI"/>
        </w:rPr>
        <w:t>ដែលជាការបង្ហាញលក្ខណៈរបស់ទ្រង់យ៉ាងពេញលេញ</w:t>
      </w:r>
      <w:r>
        <w:rPr>
          <w:rFonts w:ascii="Times New Roman" w:hAnsi="Times New Roman" w:eastAsia="Times New Roman" w:cs="Times New Roman"/>
        </w:rPr>
        <w:t xml:space="preserve"> </w:t>
      </w:r>
      <w:r>
        <w:rPr>
          <w:rFonts w:ascii="Leelawadee UI" w:hAnsi="Leelawadee UI" w:eastAsia="Leelawadee UI" w:cs="Leelawadee UI"/>
        </w:rPr>
        <w:t>ប៉ុន្តែបង្ហាញក្នុងទម្រង់សាមញ្ញ។</w:t>
      </w:r>
      <w:r>
        <w:rPr>
          <w:rFonts w:ascii="Times New Roman" w:hAnsi="Times New Roman" w:eastAsia="Times New Roman" w:cs="Times New Roman"/>
        </w:rPr>
        <w:t xml:space="preserve"> </w:t>
      </w:r>
      <w:r>
        <w:rPr>
          <w:rFonts w:ascii="Leelawadee UI" w:hAnsi="Leelawadee UI" w:eastAsia="Leelawadee UI" w:cs="Leelawadee UI"/>
        </w:rPr>
        <w:t>សេចក្តីពិតនៃសម្ពន្ធមេត្រីរបស់អាប់រ៉ាម</w:t>
      </w:r>
      <w:r>
        <w:rPr>
          <w:rFonts w:ascii="Times New Roman" w:hAnsi="Times New Roman" w:eastAsia="Times New Roman" w:cs="Times New Roman"/>
        </w:rPr>
        <w:t xml:space="preserve"> </w:t>
      </w:r>
      <w:r>
        <w:rPr>
          <w:rFonts w:ascii="Leelawadee UI" w:hAnsi="Leelawadee UI" w:eastAsia="Leelawadee UI" w:cs="Leelawadee UI"/>
        </w:rPr>
        <w:t>អំពី</w:t>
      </w:r>
      <w:r>
        <w:rPr>
          <w:rFonts w:ascii="Times New Roman" w:hAnsi="Times New Roman" w:eastAsia="Times New Roman" w:cs="Times New Roman"/>
        </w:rPr>
        <w:t xml:space="preserve"> “</w:t>
      </w:r>
      <w:r>
        <w:rPr>
          <w:rFonts w:ascii="Leelawadee UI" w:hAnsi="Leelawadee UI" w:eastAsia="Leelawadee UI" w:cs="Leelawadee UI"/>
        </w:rPr>
        <w:t>ជំនាន់ទីបួននៃការជំនុំជម្រះ</w:t>
      </w:r>
      <w:r>
        <w:rPr>
          <w:rFonts w:ascii="Times New Roman" w:hAnsi="Times New Roman" w:eastAsia="Times New Roman" w:cs="Times New Roman"/>
        </w:rPr>
        <w:t xml:space="preserve">” </w:t>
      </w:r>
      <w:r>
        <w:rPr>
          <w:rFonts w:ascii="Leelawadee UI" w:hAnsi="Leelawadee UI" w:eastAsia="Leelawadee UI" w:cs="Leelawadee UI"/>
        </w:rPr>
        <w:t>ត្រូវបានពង្រីក</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ដោយពន្លឺបន្ថែមរបស់បញ្ញត្តិទីពីរ</w:t>
      </w:r>
      <w:r>
        <w:rPr>
          <w:rFonts w:ascii="Times New Roman" w:hAnsi="Times New Roman" w:eastAsia="Times New Roman" w:cs="Times New Roman"/>
        </w:rPr>
        <w:t xml:space="preserve"> </w:t>
      </w:r>
      <w:r>
        <w:rPr>
          <w:rFonts w:ascii="Leelawadee UI" w:hAnsi="Leelawadee UI" w:eastAsia="Leelawadee UI" w:cs="Leelawadee UI"/>
        </w:rPr>
        <w:t>ស្តីអំពីជំនាន់ទីបួន។</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បទពិសោធន៍របស់ម៉ូសេ</w:t>
      </w:r>
      <w:r>
        <w:rPr>
          <w:rFonts w:ascii="Times New Roman" w:hAnsi="Times New Roman" w:eastAsia="Times New Roman" w:cs="Times New Roman"/>
        </w:rPr>
        <w:t xml:space="preserve"> </w:t>
      </w:r>
      <w:r>
        <w:rPr>
          <w:rFonts w:ascii="Leelawadee UI" w:hAnsi="Leelawadee UI" w:eastAsia="Leelawadee UI" w:cs="Leelawadee UI"/>
        </w:rPr>
        <w:t>បានពង្រីកពន្លឺអំពីទំនាក់ទំនងរវាងជំនាន់ទីបួន</w:t>
      </w:r>
      <w:r>
        <w:rPr>
          <w:rFonts w:ascii="Times New Roman" w:hAnsi="Times New Roman" w:eastAsia="Times New Roman" w:cs="Times New Roman"/>
        </w:rPr>
        <w:t xml:space="preserve"> </w:t>
      </w:r>
      <w:r>
        <w:rPr>
          <w:rFonts w:ascii="Leelawadee UI" w:hAnsi="Leelawadee UI" w:eastAsia="Leelawadee UI" w:cs="Leelawadee UI"/>
        </w:rPr>
        <w:t>និងលក្ខណៈរបស់ព្រះជាម្ចាស់</w:t>
      </w:r>
      <w:r>
        <w:rPr>
          <w:rFonts w:ascii="Times New Roman" w:hAnsi="Times New Roman" w:eastAsia="Times New Roman" w:cs="Times New Roman"/>
        </w:rPr>
        <w:t xml:space="preserve"> </w:t>
      </w:r>
      <w:r>
        <w:rPr>
          <w:rFonts w:ascii="Leelawadee UI" w:hAnsi="Leelawadee UI" w:eastAsia="Leelawadee UI" w:cs="Leelawadee UI"/>
        </w:rPr>
        <w:t>ដោយបន្ថែមពន្លឺអំពីការច្រណែនរបស់ទ្រង់។</w:t>
      </w:r>
      <w:r>
        <w:rPr>
          <w:rFonts w:ascii="Times New Roman" w:hAnsi="Times New Roman" w:eastAsia="Times New Roman" w:cs="Times New Roman"/>
        </w:rPr>
        <w:t xml:space="preserve"> </w:t>
      </w:r>
      <w:r>
        <w:rPr>
          <w:rFonts w:ascii="Leelawadee UI" w:hAnsi="Leelawadee UI" w:eastAsia="Leelawadee UI" w:cs="Leelawadee UI"/>
        </w:rPr>
        <w:t>ការបំផុសគំនិតបានកំណត់និយមន័យលក្ខណៈថាជា</w:t>
      </w:r>
      <w:r>
        <w:rPr>
          <w:rFonts w:ascii="Times New Roman" w:hAnsi="Times New Roman" w:eastAsia="Times New Roman" w:cs="Times New Roman"/>
        </w:rPr>
        <w:t xml:space="preserve"> “</w:t>
      </w:r>
      <w:r>
        <w:rPr>
          <w:rFonts w:ascii="Leelawadee UI" w:hAnsi="Leelawadee UI" w:eastAsia="Leelawadee UI" w:cs="Leelawadee UI"/>
        </w:rPr>
        <w:t>គំនិត</w:t>
      </w:r>
      <w:r>
        <w:rPr>
          <w:rFonts w:ascii="Times New Roman" w:hAnsi="Times New Roman" w:eastAsia="Times New Roman" w:cs="Times New Roman"/>
        </w:rPr>
        <w:t xml:space="preserve"> </w:t>
      </w:r>
      <w:r>
        <w:rPr>
          <w:rFonts w:ascii="Leelawadee UI" w:hAnsi="Leelawadee UI" w:eastAsia="Leelawadee UI" w:cs="Leelawadee UI"/>
        </w:rPr>
        <w:t>និងអារម្មណ៍រួមបញ្ចូលគ្នា</w:t>
      </w:r>
      <w:r>
        <w:rPr>
          <w:rFonts w:ascii="Times New Roman" w:hAnsi="Times New Roman" w:eastAsia="Times New Roman" w:cs="Times New Roman"/>
        </w:rPr>
        <w:t xml:space="preserve">” </w:t>
      </w:r>
      <w:r>
        <w:rPr>
          <w:rFonts w:ascii="Leelawadee UI" w:hAnsi="Leelawadee UI" w:eastAsia="Leelawadee UI" w:cs="Leelawadee UI"/>
        </w:rPr>
        <w:t>ប៉ុន្តែក៏បានជូនដំណឹងដល់យើងផងដែរថា</w:t>
      </w:r>
      <w:r>
        <w:rPr>
          <w:rFonts w:ascii="Times New Roman" w:hAnsi="Times New Roman" w:eastAsia="Times New Roman" w:cs="Times New Roman"/>
        </w:rPr>
        <w:t xml:space="preserve"> </w:t>
      </w:r>
      <w:r>
        <w:rPr>
          <w:rFonts w:ascii="Leelawadee UI" w:hAnsi="Leelawadee UI" w:eastAsia="Leelawadee UI" w:cs="Leelawadee UI"/>
        </w:rPr>
        <w:t>គំនិតរបស់យើង</w:t>
      </w:r>
      <w:r>
        <w:rPr>
          <w:rFonts w:ascii="Times New Roman" w:hAnsi="Times New Roman" w:eastAsia="Times New Roman" w:cs="Times New Roman"/>
        </w:rPr>
        <w:t xml:space="preserve"> </w:t>
      </w:r>
      <w:r>
        <w:rPr>
          <w:rFonts w:ascii="Leelawadee UI" w:hAnsi="Leelawadee UI" w:eastAsia="Leelawadee UI" w:cs="Leelawadee UI"/>
        </w:rPr>
        <w:t>មិនដូចគំនិតរបស់ព្រះទេ។</w:t>
      </w:r>
      <w:r>
        <w:rPr>
          <w:rFonts w:ascii="Times New Roman" w:hAnsi="Times New Roman" w:eastAsia="Times New Roman" w:cs="Times New Roman"/>
        </w:rPr>
        <w:t xml:space="preserve"> </w:t>
      </w:r>
      <w:r>
        <w:rPr>
          <w:rFonts w:ascii="Leelawadee UI" w:hAnsi="Leelawadee UI" w:eastAsia="Leelawadee UI" w:cs="Leelawadee UI"/>
        </w:rPr>
        <w:t>លក្ខណៈរបស់ទ្រង់</w:t>
      </w:r>
      <w:r>
        <w:rPr>
          <w:rFonts w:ascii="Times New Roman" w:hAnsi="Times New Roman" w:eastAsia="Times New Roman" w:cs="Times New Roman"/>
        </w:rPr>
        <w:t xml:space="preserve"> </w:t>
      </w:r>
      <w:r>
        <w:rPr>
          <w:rFonts w:ascii="Leelawadee UI" w:hAnsi="Leelawadee UI" w:eastAsia="Leelawadee UI" w:cs="Leelawadee UI"/>
        </w:rPr>
        <w:t>គឺជាគំនិត</w:t>
      </w:r>
      <w:r>
        <w:rPr>
          <w:rFonts w:ascii="Times New Roman" w:hAnsi="Times New Roman" w:eastAsia="Times New Roman" w:cs="Times New Roman"/>
        </w:rPr>
        <w:t xml:space="preserve"> </w:t>
      </w:r>
      <w:r>
        <w:rPr>
          <w:rFonts w:ascii="Leelawadee UI" w:hAnsi="Leelawadee UI" w:eastAsia="Leelawadee UI" w:cs="Leelawadee UI"/>
        </w:rPr>
        <w:t>និងអារម្មណ៍រួមបញ្ចូលគ្នារបស់ទ្រង់</w:t>
      </w:r>
      <w:r>
        <w:rPr>
          <w:rFonts w:ascii="Times New Roman" w:hAnsi="Times New Roman" w:eastAsia="Times New Roman" w:cs="Times New Roman"/>
        </w:rPr>
        <w:t xml:space="preserve"> </w:t>
      </w:r>
      <w:r>
        <w:rPr>
          <w:rFonts w:ascii="Leelawadee UI" w:hAnsi="Leelawadee UI" w:eastAsia="Leelawadee UI" w:cs="Leelawadee UI"/>
        </w:rPr>
        <w:t>ហើយលក្ខណៈរបស់ទ្រង់មានមុខមាត់ជាច្រើនលើសពីគំនិត</w:t>
      </w:r>
      <w:r>
        <w:rPr>
          <w:rFonts w:ascii="Times New Roman" w:hAnsi="Times New Roman" w:eastAsia="Times New Roman" w:cs="Times New Roman"/>
        </w:rPr>
        <w:t xml:space="preserve"> </w:t>
      </w:r>
      <w:r>
        <w:rPr>
          <w:rFonts w:ascii="Leelawadee UI" w:hAnsi="Leelawadee UI" w:eastAsia="Leelawadee UI" w:cs="Leelawadee UI"/>
        </w:rPr>
        <w:t>និងអារម្មណ៍សាមញ្ញរបស់មនុស្សយើង</w:t>
      </w:r>
      <w:r>
        <w:rPr>
          <w:rFonts w:ascii="Times New Roman" w:hAnsi="Times New Roman" w:eastAsia="Times New Roman" w:cs="Times New Roman"/>
        </w:rPr>
        <w:t xml:space="preserve"> </w:t>
      </w:r>
      <w:r>
        <w:rPr>
          <w:rFonts w:ascii="Leelawadee UI" w:hAnsi="Leelawadee UI" w:eastAsia="Leelawadee UI" w:cs="Leelawadee UI"/>
        </w:rPr>
        <w:t>ដល់ថ្នាក់ដែលភាពខុសគ្នានោះ</w:t>
      </w:r>
      <w:r>
        <w:rPr>
          <w:rFonts w:ascii="Times New Roman" w:hAnsi="Times New Roman" w:eastAsia="Times New Roman" w:cs="Times New Roman"/>
        </w:rPr>
        <w:t xml:space="preserve"> </w:t>
      </w:r>
      <w:r>
        <w:rPr>
          <w:rFonts w:ascii="Leelawadee UI" w:hAnsi="Leelawadee UI" w:eastAsia="Leelawadee UI" w:cs="Leelawadee UI"/>
        </w:rPr>
        <w:t>គឺថា</w:t>
      </w:r>
      <w:r>
        <w:rPr>
          <w:rFonts w:ascii="Times New Roman" w:hAnsi="Times New Roman" w:eastAsia="Times New Roman" w:cs="Times New Roman"/>
        </w:rPr>
        <w:t xml:space="preserve"> </w:t>
      </w:r>
      <w:r>
        <w:rPr>
          <w:rFonts w:ascii="Leelawadee UI" w:hAnsi="Leelawadee UI" w:eastAsia="Leelawadee UI" w:cs="Leelawadee UI"/>
        </w:rPr>
        <w:t>គំនិតរបស់ទ្រង់ខ្ពស់ជាងមេឃ</w:t>
      </w:r>
      <w:r>
        <w:rPr>
          <w:rFonts w:ascii="Times New Roman" w:hAnsi="Times New Roman" w:eastAsia="Times New Roman" w:cs="Times New Roman"/>
        </w:rPr>
        <w:t xml:space="preserve"> </w:t>
      </w:r>
      <w:r>
        <w:rPr>
          <w:rFonts w:ascii="Leelawadee UI" w:hAnsi="Leelawadee UI" w:eastAsia="Leelawadee UI" w:cs="Leelawadee UI"/>
        </w:rPr>
        <w:t>ប្រៀបនឹងផែនដី។</w:t>
      </w:r>
    </w:p>
    <w:p>
      <w:pPr>
        <w:pStyle w:val="ArticleScripture"/>
        <w:jc w:val="left"/>
      </w:pPr>
      <w:r>
        <w:rPr>
          <w:rFonts w:ascii="Times New Roman" w:hAnsi="Times New Roman" w:eastAsia="Times New Roman" w:cs="Times New Roman"/>
        </w:rPr>
        <w:t>“Kerana fikiran-Ku bukanlah fikiranmu, dan jalanmu bukanlah jalan-Ku, demikianlah firman TUHAN. Sebab seperti langit lebih tinggi daripada bumi, demikianlah jalan-Ku lebih tinggi daripada jalanmu, dan fikiran-Ku daripada fikiranmu.” Yesaya 55:8, 9.</w:t>
      </w:r>
    </w:p>
    <w:p>
      <w:pPr>
        <w:pStyle w:val="ArticleBody"/>
        <w:jc w:val="left"/>
      </w:pPr>
      <w:r>
        <w:rPr>
          <w:rFonts w:ascii="Times New Roman" w:hAnsi="Times New Roman" w:eastAsia="Times New Roman" w:cs="Times New Roman"/>
        </w:rPr>
        <w:t>Idlan nnsni yiwen umeslay n wumdan ara yili d ayen i t-id-yesmedden; ma yella ttabiɛt n Öebbi tettwassen s yisem-is, ihi yal taẓuri n yisem n Öebbi d taẓuri n ttabiɛt-is. Aryul n taqbilt n Yuda yettmuddu taxutemt i Wawal-is n tnebbit, yerna yettakk-as tuffɣa; Palmoni d Ameqqran Aḥesab n Wufraren, win i d aẓar seg wakal aqquran, yerna d taqerruyt i yettaṛa, d tagut n tmes, d tigejdit n tmes, d lmalak ameqran Mixa’el, akked wayen niḍen war taggara. Iwṣifen n ttabiɛt n Öebbi, akka i d-ttwaseknen s yismawen-is yemgaraden, ur sɛin ara taggara. “Ameslay n wumdan ara yili d ayen i t-id-yesmedden” d wa. Deg meṛṛa yinawen yemgaraden n ttabiɛt n Öebbi i nettwassen d wid yellan, acu-t unamek—belli deg umecwar amezwaru n leɛqed deg ukala n leɛqed amkraḍ n Abram—“aḥuddu n tis kraḍ d ukkuz” d asentel agejdan deg leɛqed—i d-yettbanen yisem-is?</w:t>
      </w:r>
    </w:p>
    <w:p>
      <w:pPr>
        <w:pStyle w:val="ArticleScripture"/>
        <w:jc w:val="left"/>
      </w:pPr>
      <w:r>
        <w:rPr>
          <w:rFonts w:ascii="Times New Roman" w:hAnsi="Times New Roman" w:eastAsia="Times New Roman" w:cs="Times New Roman"/>
        </w:rPr>
        <w:t>Lalu firman-Nya kepada Abram, “Ketahuilah dengan pasti bahwa keturunanmu akan menjadi orang asing di suatu negeri yang bukan milik mereka; mereka akan diperhamba oleh penduduk negeri itu, dan penduduk itu akan menindas mereka empat ratus tahun lamanya. Tetapi bangsa yang kepadanya mereka akan diperhamba itu akan Kuhakimi; sesudah itu mereka akan keluar dengan membawa harta benda yang besar. Adapun engkau, engkau akan pergi kepada nenek moyangmu dalam damai; engkau akan dikuburkan pada usia yang lanjut dan baik. Tetapi pada keturunan yang keempat mereka akan kembali ke sini, sebab kedurjanaan orang Amori belum genap.” Kejadian 15:13–16.</w:t>
      </w:r>
    </w:p>
    <w:p>
      <w:pPr>
        <w:pStyle w:val="ArticleBody"/>
        <w:jc w:val="left"/>
      </w:pPr>
      <w:r>
        <w:rPr>
          <w:rFonts w:ascii="Times New Roman" w:hAnsi="Times New Roman" w:eastAsia="Times New Roman" w:cs="Times New Roman"/>
        </w:rPr>
        <w:t>Tabia ya Mungu kama Mwamuzi wa wanadamu na wa mataifa huwapa wanadamu kipindi cha majaribio kinachowakilishwa na vizazi vinne. Mungu ndiye Mwamuzi, Yeye ni mwenye rehema, Yeye ni mvumilivu, naye huifikisha hukumu ya wanadamu na ya mataifa kwenye ukamilisho katika kizazi cha nne. Tamko la msingi la Mungu katika agano Lake na watu waliochaguliwa linajumuisha hukumu ya kizazi cha nne. Kama vile ujumbe wa malaika wa kwanza unavyobeba sifa zote za kila mmoja wa jumbe za wale malaika watatu binafsi, vivyo hivyo, hatua ya kwanza ya agano la Abramu inabeba sifa za agano lote la sehemu tatu. Jina la Mungu ni kwamba Yeye ni Mwamuzi mwenye rehema, ahukumuye katika kizazi cha nne. Kila hatua nyingine katika historia ya agano la watu waliochaguliwa hujengwa juu ya msingi huo.</w:t>
      </w:r>
    </w:p>
    <w:p>
      <w:pPr>
        <w:pStyle w:val="ArticleBody"/>
        <w:jc w:val="left"/>
      </w:pPr>
      <w:r>
        <w:rPr>
          <w:rFonts w:ascii="Times New Roman" w:hAnsi="Times New Roman" w:eastAsia="Times New Roman" w:cs="Times New Roman"/>
        </w:rPr>
        <w:t>Apabila kitab Yoel ditempatkan pada kebangkitan Seruan Tengah Malam dalam ayat lima, dan “air anggur yang baru” “diputuskan” dari mulut mereka, pendahuluan kepada pemisahan perjanjian yang terakhir itu atas suatu umat perjanjian yang terpilih merupakan pekabaran dasar tentang perjanjian yang mengemukakan pemberontakan umat perjanjian yang kemudian “diputuskan,” sebagai sesuatu yang digenapi pada generasi yang keempat. Mereka “diputuskan,” kerana tidak memahami pekabaran dasar perjanjian itu.</w:t>
      </w:r>
    </w:p>
    <w:p>
      <w:pPr>
        <w:pStyle w:val="ArticleBody"/>
        <w:jc w:val="left"/>
      </w:pPr>
      <w:r>
        <w:rPr>
          <w:rFonts w:ascii="Times New Roman" w:hAnsi="Times New Roman" w:eastAsia="Times New Roman" w:cs="Times New Roman"/>
        </w:rPr>
        <w:t>Khri̱hthina leh phu̱rhna a ni zêl tûr thuthlung thu, Genesis bung 15-a châng li-ah a awm chu, thuthlung thuchah tâwpna—capstone message—chu ni hnuhnung lamah “uain thar” angin a lo puan chhuah huna hman tûr tehfung rod leh rorêlna hrui a ni. “Uain thar” chu “tan bo” a nih huna Ephraim zu ruihte an harh chhuahna nêna inzawm nghiatna chu, ni hnuhnung lamah ruah sur hnuhnung hun chhûnga fiahna hunah, lalna do zêl thlante hnam hel avâng chuan an khâng tihna hnam chhuakna lina tâwpna chunga rorêlna puan chhuahna thu bulpuiah a dah tel chuan chauh dik takin hriatthiam theih a ni.</w:t>
      </w:r>
    </w:p>
    <w:p>
      <w:pPr>
        <w:pStyle w:val="ArticleBody"/>
        <w:jc w:val="left"/>
      </w:pPr>
      <w:r>
        <w:rPr>
          <w:rFonts w:ascii="Times New Roman" w:hAnsi="Times New Roman" w:eastAsia="Times New Roman" w:cs="Times New Roman"/>
        </w:rPr>
        <w:t>Dalam Kejadian tujuh belas, kita mendapati langkah kedua daripada perjanjian tiga serangkai dengan Abraham:</w:t>
      </w:r>
    </w:p>
    <w:p>
      <w:pPr>
        <w:pStyle w:val="ArticleScripture"/>
        <w:jc w:val="left"/>
      </w:pPr>
      <w:r>
        <w:rPr>
          <w:rFonts w:ascii="Times New Roman" w:hAnsi="Times New Roman" w:eastAsia="Times New Roman" w:cs="Times New Roman"/>
        </w:rPr>
        <w:t>Nunga Katonda akagamba Ibrahimu nti, “Olirindanga endagaano yange; ggwe n’ezzadde lyo oluvannyuma lwo mu mirembe gyalyo. Eno ye ndagaano yange, gye munaakwata, wakati wange nammwe n’ezzadde lyo oluvannyuma lwo;”</w:t>
      </w:r>
    </w:p>
    <w:p>
      <w:pPr>
        <w:pStyle w:val="ArticleScripture"/>
        <w:jc w:val="left"/>
      </w:pPr>
      <w:r>
        <w:rPr>
          <w:rFonts w:ascii="Times New Roman" w:hAnsi="Times New Roman" w:eastAsia="Times New Roman" w:cs="Times New Roman"/>
        </w:rPr>
        <w:t>Setiap anak laki-laki di antara kamu harus disunat. Dan kamu harus menyunat daging kulupmu; dan hal itu akan menjadi tanda perjanjian antara Aku dan kamu. Dan anak laki-laki yang berumur delapan hari harus disunat di antara kamu, setiap anak laki-laki turun-temurun dalam generasimu, baik yang lahir di rumahmu maupun yang dibeli dengan uang dari orang asing, yang bukan dari keturunanmu. Baik yang lahir di rumahmu maupun yang dibeli dengan uangmu, keduanya wajib disunat; dan perjanjian-Ku akan ada di dalam dagingmu sebagai suatu perjanjian yang kekal. Dan anak laki-laki yang tidak disunat, yang daging kulupnya tidak disunat, orang itu harus dilenyapkan dari antara bangsanya; ia telah melanggar perjanjian-Ku. Kejadian 17:9–14.</w:t>
      </w:r>
    </w:p>
    <w:p>
      <w:pPr>
        <w:pStyle w:val="ArticleBody"/>
        <w:jc w:val="left"/>
      </w:pPr>
      <w:r>
        <w:rPr>
          <w:rFonts w:ascii="Times New Roman" w:hAnsi="Times New Roman" w:eastAsia="Times New Roman" w:cs="Times New Roman"/>
        </w:rPr>
        <w:t>Ekang epe eñwene udua anam esio nnọ nte aban̄a ke idoho “ke ekebio.” Uyo emi akenamde nte “ekebio,” anam mfik ke ikot anam̄de Abram akan̄a ke ubọk iba ke ikọt ition̄o ye ise, ndien ke itie oro, owo eke idikpaha ke obio idaha oro ekebio esit “ekebio” efep ke mme idot enye. Nditọt esịt ekenam nnọchi ke baptism ke akụkọ ifaŋ idem idot, ebe Christ anamde nte anam ọfiọk mme eziokwu emi; ndien nte emi, Enye, nte ufak itoro nnyịn, akpanam esit nte efen ke usen ition̄o isii.</w:t>
      </w:r>
    </w:p>
    <w:p>
      <w:pPr>
        <w:pStyle w:val="ArticleBody"/>
        <w:jc w:val="left"/>
      </w:pPr>
      <w:r>
        <w:rPr>
          <w:rFonts w:ascii="Times New Roman" w:hAnsi="Times New Roman" w:eastAsia="Times New Roman" w:cs="Times New Roman"/>
        </w:rPr>
        <w:t>Tanda itu harus digenapi pada hari kedelapan, sebagaimana dilambangkan oleh delapan jiwa di dalam bahtera. Pada langkah kedua inilah ujian yang bersifat visual digambarkan, baik ketika Israel memilih antara nabi-nabi Izebel dan Elia menjelang penghakiman yang dilaksanakan oleh Elia, maupun ketika rupa Daniel, Sadrakh, Mesakh, dan Abednego tampak lebih baik dan lebih gemuk daripada mereka yang memakan santapan raja; ujian kedua bersifat visual. Sunat adalah suatu tanda kehidupan, dan delapan jiwa di atas bahtera itu melambangkan mereka yang hidup, berlawanan dengan mereka yang mati.</w:t>
      </w:r>
    </w:p>
    <w:p>
      <w:pPr>
        <w:pStyle w:val="ArticleBody"/>
        <w:jc w:val="left"/>
      </w:pPr>
      <w:r>
        <w:rPr>
          <w:rFonts w:ascii="Times New Roman" w:hAnsi="Times New Roman" w:eastAsia="Times New Roman" w:cs="Times New Roman"/>
        </w:rPr>
        <w:t>Ndzi le matimanyweni ya Kriste, loko xikombiso xa ntwanano xi hundzukele eka ku khuvuriwa, muapostola Pawulo u tirhise wona matimu ya ntwanano ya tindzimana leti ku kombisa ku cinca lokukulu eka matimu ya ntwanano. U tirhise nyama leyi tsemiwaka eku yimbiseni, tanihi xifaniso xa munhu hi ku fambisana ni Vukwembu, ni tanihi xifaniso xa muxaka wa munhu wa le hansi hi ku fambisana ni muxaka wa munhu wa le henhla. Pawulo u dyondzise vadyondzisiwa vakwe hi ku tirhisa Rito ra vuporofeta ra Xikwembu, naswona xikongomelo xakwe tanihi “loyi a hlawuriweke,” (tanihi leswi vito rakwe Sawulo ri vulaka swona) a ku ri ku kombisa ku cinca lokukulu eka matimu ya ntwanano loku yimeleriwaka hi ku hundzuka ku suka eka Israele wa xiviri ku ya eka Israele wa moya tanihi vanhu va ntwanano wa Xikwembu. Eku hetisiseni ntirho lowu a averiweke wona, u humesile rungula rakwe ra vuporofeta eka mongo wa matimu ya ntwanano.</w:t>
      </w:r>
    </w:p>
    <w:p>
      <w:pPr>
        <w:pStyle w:val="ArticleBody"/>
        <w:jc w:val="left"/>
      </w:pPr>
      <w:r>
        <w:rPr>
          <w:rFonts w:ascii="Times New Roman" w:hAnsi="Times New Roman" w:eastAsia="Times New Roman" w:cs="Times New Roman"/>
        </w:rPr>
        <w:t>Genesisi sura ya kumi na saba inawakilisha hatua ya pili ya hatua tatu za msingi za agano, ambazo hupata utimilifu wake wa omega katika malaika watatu wa Ufunuo kumi na nne. Hatua ya pili inawakilishwa na ishara ya tohara, ikiashiria muhuri wa Mungu juu ya wale mia moja arobaini na nne elfu, ambao ndio bendera, inayowakilisha jaribio la kuona. Malaika hao watatu ni omega ya agano la alpha la Ibrahimu. Hatua ya tatu kwa Ibrahimu ilikuwa sura ya ishirini na mbili.</w:t>
      </w:r>
    </w:p>
    <w:p>
      <w:pPr>
        <w:pStyle w:val="ArticleScripture"/>
        <w:jc w:val="left"/>
      </w:pPr>
      <w:r>
        <w:rPr>
          <w:rFonts w:ascii="Times New Roman" w:hAnsi="Times New Roman" w:eastAsia="Times New Roman" w:cs="Times New Roman"/>
        </w:rPr>
        <w:t>Malaika wa Bwana akamwita Ibrahimu kutoka mbinguni mara ya pili, akasema, Kwa nafsi yangu nimeapa, asema Bwana, kwa sababu umetenda jambo hili, wala hukumzuilia mwanao, mwanao wa pekee; ya kwamba katika kubariki nitakubariki, na katika kuzidisha nitazidisha uzao wako kama nyota za mbinguni, na kama mchanga ulioko pwani ya bahari; na uzao wako utamiliki lango la adui zake; na katika uzao wako mataifa yote ya dunia watabarikiwa; kwa sababu umeitii sauti yangu. Mwanzo 22:15–18.</w:t>
      </w:r>
    </w:p>
    <w:p>
      <w:pPr>
        <w:pStyle w:val="ArticleBody"/>
        <w:jc w:val="left"/>
      </w:pPr>
      <w:r>
        <w:rPr>
          <w:rFonts w:ascii="Times New Roman" w:hAnsi="Times New Roman" w:eastAsia="Times New Roman" w:cs="Times New Roman"/>
        </w:rPr>
        <w:t>Ayat pertama dari pasal itu menyatakan, “Setelah semuanya itu Allah mencoba Abraham. Ia berfirman kepadanya: Abraham! Lalu Abraham menjawab: Ya, Tuhan.” Allah mencobai Abraham, dengan demikian menandai suatu ujian terakhir, sebelum pernyataan perjanjian yang ketiga. Ketika Abraham lulus dalam ujian itu, maka empat ayat terakhir dari perjanjian Abraham yang rangkap tiga itu pun dikemukakan. Oleh sebab Abraham “menaati” suara Allah, yang dalam bagian ini adalah “suara perjanjian”-Nya, Abraham akan diberkati sebagai bapa segala bangsa. Malaikat yang ketiga adalah suatu ujian, yang seperti Abraham melambangkan suatu ujian yang menyatakan tabiat, dan tabiat didasarkan pada apakah engkau percaya kepada Allah, seperti halnya Abraham, atau tidak. Mereka yang lulus ujian itu, sebagaimana Abraham, akan dipakai untuk menghimpunkan semua bangsa di dunia. Ketujuh belas ayat itu, dari tiga pasal, menyatakan perjanjian antara Allah dan suatu umat pilihan; dan dengan demikian ayat-ayat itu melambangkan alfa dari sejarah perjanjian suatu umat pilihan, dan dengan demikian pula ayat-ayat itu melambangkan omega dari sejarah perjanjian sebagaimana dinyatakan dalam pembangkitan seratus empat puluh empat ribu itu.</w:t>
      </w:r>
    </w:p>
    <w:p>
      <w:pPr>
        <w:pStyle w:val="ArticleBody"/>
        <w:jc w:val="left"/>
      </w:pPr>
      <w:r>
        <w:rPr>
          <w:rFonts w:ascii="Times New Roman" w:hAnsi="Times New Roman" w:eastAsia="Times New Roman" w:cs="Times New Roman"/>
        </w:rPr>
        <w:t>Mingakhi ba kae ba rona ba ka rekang ntlo, kgotsa koloi, ba sa simolole ka go sekaseka mabaka a kgolagano? Baebele ya Baadifentise ba Sabata ba Laodikia ba le kae ba itse gore lebaka la ntlha-thata la kgolagano ya bone le Modimo le na le gore Modimo o ipolela e le Modimo wa kutlwelobotlhoko yo o atlholang mo kokomaneng ya bonê? Masetlapelo ke gore ga ba itse boammaaruri jwa motheo jwa hisetori ya Bamillerite, le gone ga ba itse boammaaruri jwa motheo jwa kamano ya bone ya kgolagano e ba ipolelang yone; mme ka ntlha ya seno bone, jaaka Iseraele wa bogologolo, ga ba itse nako ya ketelo ya bone. Bokhutlo jwa paka eo ya ketelo, e e simologileng ka 9/11, ke fa ba tsosiwa ka bosigogare fela go lemoga gore ba kgaotswe.</w:t>
      </w:r>
    </w:p>
    <w:p>
      <w:pPr>
        <w:pStyle w:val="ArticleBody"/>
        <w:jc w:val="left"/>
      </w:pPr>
      <w:r>
        <w:rPr>
          <w:rFonts w:ascii="Times New Roman" w:hAnsi="Times New Roman" w:eastAsia="Times New Roman" w:cs="Times New Roman"/>
        </w:rPr>
        <w:t>Kita akan meneruskan dalam artikel yang seterusnya.</w:t>
      </w:r>
    </w:p>
    <w:p>
      <w:pPr>
        <w:pStyle w:val="ArticleScripture"/>
        <w:jc w:val="left"/>
      </w:pPr>
      <w:r>
        <w:rPr>
          <w:rFonts w:ascii="Times New Roman" w:hAnsi="Times New Roman" w:eastAsia="Times New Roman" w:cs="Times New Roman"/>
        </w:rPr>
        <w:t>“Ka la 18 Moranang, matsatsi a mabedi ka morao ga gore pono ya me ya meago e e wang e fete fa pele ga me, ka ya go diragatsa thulaganyo ya tirelo kwa Kerekeng ya Carr Street, Los Angeles. E rile re ntse re atamela kereke, ra utlwa basimane ba ba rekisang dikgang ba goa ba re: ‘San Francisco e senngwa ke thoromo ya lefatshe!’ Ka pelo e e boima ka bala dikgang tsa ntlha, tse di neng di gatisitswe ka potlako, tsa masetlapelo ao a boitshegang.”</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བདུན་ཕྲག་གཉིས་ཀྱི་རྗེས་སུ།</w:t>
      </w:r>
      <w:r>
        <w:rPr>
          <w:rFonts w:ascii="Times New Roman" w:hAnsi="Times New Roman" w:eastAsia="Times New Roman" w:cs="Times New Roman"/>
        </w:rPr>
        <w:t xml:space="preserve"> </w:t>
      </w:r>
      <w:r>
        <w:rPr>
          <w:rFonts w:ascii="Microsoft Himalaya" w:hAnsi="Microsoft Himalaya" w:eastAsia="Microsoft Himalaya" w:cs="Microsoft Himalaya"/>
        </w:rPr>
        <w:t>ང་ཚོ་རང་གི་ཁྱིམ་དུ་ལོག་པའི་ལམ་བར་ནས་སན་ཕྲན་སིས་ཀོ་བརྒྱུད་དེ།</w:t>
      </w:r>
      <w:r>
        <w:rPr>
          <w:rFonts w:ascii="Times New Roman" w:hAnsi="Times New Roman" w:eastAsia="Times New Roman" w:cs="Times New Roman"/>
        </w:rPr>
        <w:t xml:space="preserve"> </w:t>
      </w:r>
      <w:r>
        <w:rPr>
          <w:rFonts w:ascii="Microsoft Himalaya" w:hAnsi="Microsoft Himalaya" w:eastAsia="Microsoft Himalaya" w:cs="Microsoft Himalaya"/>
        </w:rPr>
        <w:t>ཤིང་རྟ་ཞིག་གླས་ནས།</w:t>
      </w:r>
      <w:r>
        <w:rPr>
          <w:rFonts w:ascii="Times New Roman" w:hAnsi="Times New Roman" w:eastAsia="Times New Roman" w:cs="Times New Roman"/>
        </w:rPr>
        <w:t xml:space="preserve"> </w:t>
      </w:r>
      <w:r>
        <w:rPr>
          <w:rFonts w:ascii="Microsoft Himalaya" w:hAnsi="Microsoft Himalaya" w:eastAsia="Microsoft Himalaya" w:cs="Microsoft Himalaya"/>
        </w:rPr>
        <w:t>གྲོང་ཁྱེར་ཆེན་པོ་དེའི་ནང་བྱུང་བའི་གཏོར་བཤིག་ལ་ལྟ་ཞིབ་བྱེད་པར་ཆུ་ཚོད་ཕྱེད་དང་གཅིག་བསྐྱལ་ཡོད།</w:t>
      </w:r>
      <w:r>
        <w:rPr>
          <w:rFonts w:ascii="Times New Roman" w:hAnsi="Times New Roman" w:eastAsia="Times New Roman" w:cs="Times New Roman"/>
        </w:rPr>
        <w:t xml:space="preserve"> </w:t>
      </w:r>
      <w:r>
        <w:rPr>
          <w:rFonts w:ascii="Microsoft Himalaya" w:hAnsi="Microsoft Himalaya" w:eastAsia="Microsoft Himalaya" w:cs="Microsoft Himalaya"/>
        </w:rPr>
        <w:t>གནོད་འཚེ་ལས་སྲུང་ཐུབ་པར་བསམས་པའི་ཁང་པ་རྣམས་ཞིག་རོར་ལྷུང་འདུག</w:t>
      </w:r>
      <w:r>
        <w:rPr>
          <w:rFonts w:ascii="Times New Roman" w:hAnsi="Times New Roman" w:eastAsia="Times New Roman" w:cs="Times New Roman"/>
        </w:rPr>
        <w:t xml:space="preserve"> </w:t>
      </w:r>
      <w:r>
        <w:rPr>
          <w:rFonts w:ascii="Microsoft Himalaya" w:hAnsi="Microsoft Himalaya" w:eastAsia="Microsoft Himalaya" w:cs="Microsoft Himalaya"/>
        </w:rPr>
        <w:t>ཁ་ཤས་ཀྱི་ཁང་པ་ནི་ས་ནང་དུ་ཆ་ཤས་ཤིག་ནུབ་འདུག</w:t>
      </w:r>
      <w:r>
        <w:rPr>
          <w:rFonts w:ascii="Times New Roman" w:hAnsi="Times New Roman" w:eastAsia="Times New Roman" w:cs="Times New Roman"/>
        </w:rPr>
        <w:t xml:space="preserve"> </w:t>
      </w:r>
      <w:r>
        <w:rPr>
          <w:rFonts w:ascii="Microsoft Himalaya" w:hAnsi="Microsoft Himalaya" w:eastAsia="Microsoft Himalaya" w:cs="Microsoft Himalaya"/>
        </w:rPr>
        <w:t>གྲོང་ཁྱེར་དེས་མེ་འབར་བ་དང་ས་ཡོམ་ལ་མི་མཐུན་པའི་ཁང་བཟོ་བསྐྲུན་པར་མིའི་བློ་རིག་གི་ནུས་པ་མ་འདང་བའི་སྐྱོ་གཟུགས་ཤིག་ཤིན་ཏུ་འཇིགས་སྣང་ཅན་དུ་བསྟན་ཡོད།</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“Melalui nabi-Nya Zefanya, Tuhan menyatakan dengan khusus penghakiman-penghakiman yang akan didatangkan-Nya atas orang-orang yang berbuat jahat: ‘Aku akan melenyapkan sama sekali segala sesuatu dari atas muka bumi, demikianlah firman Tuhan. Aku akan melenyapkan manusia dan binatang; Aku akan melenyapkan burung-burung di udara, dan ikan-ikan di laut, dan batu-batu sandungan beserta orang-orang fasik; dan Aku akan melenyapkan manusia dari atas muka bumi, demikianlah firman Tuhan.’”</w:t>
      </w:r>
    </w:p>
    <w:p>
      <w:pPr>
        <w:pStyle w:val="ArticleScripture"/>
        <w:jc w:val="left"/>
      </w:pPr>
      <w:r>
        <w:rPr>
          <w:rFonts w:ascii="Times New Roman" w:hAnsi="Times New Roman" w:eastAsia="Times New Roman" w:cs="Times New Roman"/>
        </w:rPr>
        <w:t>“‘Mme edwene sɛ, wɔ Awurade afɔrebɔ da no mu no, mɛtwe atɛn agu amantamfo no ne ɔhene mma no ne wɔn a wɔhyɛ ntade a ɛyɛ anana no nyinaa so. Saa da no ara mu nso mɛtwe atɛn agu wɔn a wɔhuruw tra apon ano no nyinaa so, wɔn a wɔde akakabensɛm ne nnaadaa hyɛ wɔn wura afie ma no so….</w:t>
      </w:r>
    </w:p>
    <w:p>
      <w:pPr>
        <w:pStyle w:val="ArticleScripture"/>
        <w:jc w:val="left"/>
      </w:pPr>
      <w:r>
        <w:rPr>
          <w:rFonts w:ascii="Times New Roman" w:hAnsi="Times New Roman" w:eastAsia="Times New Roman" w:cs="Times New Roman"/>
        </w:rPr>
        <w:t>“‘Mungkin pas kimpoho o waktu ot, Ahu manondangi Jerusalem dohot lampu-lampu, jala manghukum angka jolma na marhite di atas ampasna, na mandok di bagasan rohana, Jahowa ndang mambahen na denggan, jala ndang mambahen na roa. Dibahen i, harta nasida gabe rampasan, jala jabu nasida gabe parporangan; jala nasida pe pajongjong jabu, alai ndang maringanan di din; jala nasida mangula kebun anggur, alai ndang minum anggurna.</w:t>
      </w:r>
    </w:p>
    <w:p>
      <w:pPr>
        <w:pStyle w:val="ArticleScripture"/>
        <w:jc w:val="left"/>
      </w:pPr>
      <w:r>
        <w:rPr>
          <w:rFonts w:ascii="Times New Roman" w:hAnsi="Times New Roman" w:eastAsia="Times New Roman" w:cs="Times New Roman"/>
        </w:rPr>
        <w:t>“‘Hari besar TUHAN sudah dekat, sudah dekat, dan sangat cepat datangnya, bahkan bunyi hari TUHAN itu: orang perkasa akan menangis dengan pahit di sana. Hari itu ialah hari murka, hari kesesakan dan kesukaran, hari kebinasaan dan kemusnahan, hari kegelapan dan kesuraman, hari awan dan kelam pekat, hari sangkakala dan pekik perang terhadap kota-kota berkubu, dan terhadap menara-menara yang tinggi. Dan Aku akan mendatangkan kesesakan ke atas manusia, sehingga mereka akan berjalan seperti orang buta, kerana mereka telah berdosa terhadap TUHAN; dan darah mereka akan dicurahkan seperti debu, dan daging mereka seperti tahi. Baik perak mereka mahupun emas mereka tidak akan dapat melepaskan mereka pada hari murka TUHAN; bahkan seluruh negeri itu akan dimakan oleh api kecemburuan-Nya, kerana Ia akan mengadakan kebinasaan yang segera atas semua orang yang diam di negeri itu.’ Zefanya 1:2, 3, 8–18.</w:t>
      </w:r>
    </w:p>
    <w:p>
      <w:pPr>
        <w:pStyle w:val="ArticleScripture"/>
        <w:jc w:val="left"/>
      </w:pPr>
      <w:r>
        <w:rPr>
          <w:rFonts w:ascii="Times New Roman" w:hAnsi="Times New Roman" w:eastAsia="Times New Roman" w:cs="Times New Roman"/>
        </w:rPr>
        <w:t>“ Xikwembu a nge he swi koti ku tiyisela nkarhi wo leha swinene. Xikwembu xi sungurile ku rhumela vuavanyisi bya xona eka tindhawu tin’wana, naswona ku nga ri khale ku hlundzuka ka xona loku vonakaka swinene ku ta twiwa eka tindhawu tin’wana.</w:t>
      </w:r>
    </w:p>
    <w:p>
      <w:pPr>
        <w:pStyle w:val="ArticleScripture"/>
        <w:jc w:val="left"/>
      </w:pPr>
      <w:r>
        <w:rPr>
          <w:rFonts w:ascii="Times New Roman" w:hAnsi="Times New Roman" w:eastAsia="Times New Roman" w:cs="Times New Roman"/>
        </w:rPr>
        <w:t>“Ho tla ba le letoto la liketsahalo tse senolang hore Molimo ke Morena oa boemo bona. ’Nete e tla boleloa ka puo e hlakileng, e sa ferekaneng. Re le sechaba re tshwanetse ho lokisetsa tsela ea Morena tlas’a tataiso e laolang ea Moea o Halalelang. Evangeli e tshwanetse ho fanoa ka bohloeki ba eona. Molapo oa metsi a bophelo o tshwanetse ho teba le ho atoloha tseleng ea oona. Masimong ’ohle, a haufi le a hole, batho ba tla bitsoa ba tlosoe mohomaong le mesebetsing e tloaelehileng ea khoebo e atisang ho hapa kelello haholo, ’me ba tla rutoa ba kopane le banna ba nang le boiphihlelo. Ha ba ntse ba ithuta ho sebetsa ka katleho, ba tla bolela ’nete ka matla. Ka mesebetsi e makatsang haholo ea tlhokomelo ea bomolimo, lithaba tsa mathata li tla tlosoa, li lahleloe ka leoatleng. Molaetsa o bolelang ho hongata hakaalo ho baahi ba lefatše o tla utluoa ’me o utloisisoe. Batho ba tla tseba hore na ’nete ke efe. Mosebetsi o tla tsoela pele, o hatele pele kamehla, ho fihlela lefatše lohle le se le lemositsoe; ’me joale bofelo bo tla tla.</w:t>
      </w:r>
    </w:p>
    <w:p>
      <w:pPr>
        <w:pStyle w:val="ArticleScripture"/>
        <w:jc w:val="left"/>
      </w:pPr>
      <w:r>
        <w:rPr>
          <w:rFonts w:ascii="Times New Roman" w:hAnsi="Times New Roman" w:eastAsia="Times New Roman" w:cs="Times New Roman"/>
        </w:rPr>
        <w:t>“Ցերեկները որքան առաջ են գնում, ավելի ու ավելի ակնհայտ է դառնում, որ Աստծո դատաստանները աշխարհի մեջ են։ Կրակով, ջրհեղեղով և երկրաշարժով Նա զգուշացնում է այս երկրի բնակիչներին Իր մոտալուտ գալստյան մասին։ Մոտենում է այն ժամանակը, երբ աշխարհի պատմության մեծ ճգնաժամը պիտի հասած լինի, երբ Աստծո կառավարության մեջ եղող ամեն մի շարժում պիտի դիտվի լարված հետաքրքրությամբ և անարտահայտելի ահով։ Արագ հաջորդականությամբ Աստծո դատաստանները պիտի հաջորդեն միմյանց՝ կրակ և ջրհեղեղ և երկրաշարժ, պատերազմի և արյունահեղության հետ միասին։”</w:t>
      </w:r>
    </w:p>
    <w:p>
      <w:pPr>
        <w:pStyle w:val="ArticleScripture"/>
        <w:jc w:val="left"/>
      </w:pPr>
      <w:r>
        <w:rPr>
          <w:rFonts w:ascii="Times New Roman" w:hAnsi="Times New Roman" w:eastAsia="Times New Roman" w:cs="Times New Roman"/>
        </w:rPr>
        <w:t>“Oh, sekiranya umat mengetahui waktu lawatan mereka! Ada ramai yang belum lagi mendengar kebenaran ujian untuk zaman ini. Ada ramai yang dengan mereka Roh Allah sedang bergumul. Waktu penghakiman Allah yang membinasakan ialah waktu belas kasihan bagi mereka yang tidak berpeluang untuk mempelajari apa itu kebenaran. Dengan lembut Tuhan akan memandang mereka. Hati belas kasihan-Nya tersentuh; tangan-Nya masih terhulur untuk menyelamatkan, sementara pintu tertutup bagi mereka yang tidak mahu masuk.</w:t>
      </w:r>
    </w:p>
    <w:p>
      <w:pPr>
        <w:pStyle w:val="ArticleScripture"/>
        <w:jc w:val="left"/>
      </w:pPr>
      <w:r>
        <w:rPr>
          <w:rFonts w:ascii="Times New Roman" w:hAnsi="Times New Roman" w:eastAsia="Times New Roman" w:cs="Times New Roman"/>
        </w:rPr>
        <w:t>“Мейірімі Құдайдың Оның ұзақ шыдамдылығында көрінеді. Ол Өзінің үкімдерін тежеп тұр, ескерту хабары барлығына жария етілуін күтіп тұр. О, егер біздің халқымыз дүниеге соңғы рақым хабарын жеткізу міндетінің өздеріне жүктелген жауапкершілігін тиісінше сезінсе, қандай ғажайып іс атқарылар еді!” Testimonies, volume 9, 94–97.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Buka ea Joele le Kereke ea Bo-Seventh-day Adventist ea Laodisea — Nomoro ea Mashome a Mabeli</dc:title>
  <dc:subject/>
  <dc:creator>Jeff Pippenger</dc:creator>
  <cp:keywords/>
  <dc:description>Generated by ArticleDigger from joel\20_joel.json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