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ឡៅឌីសេ</w:t>
      </w:r>
      <w:r>
        <w:rPr>
          <w:rFonts w:ascii="Arial" w:hAnsi="Arial" w:eastAsia="Arial" w:cs="Arial"/>
        </w:rPr>
        <w:t xml:space="preserve"> — </w:t>
      </w:r>
      <w:r>
        <w:rPr>
          <w:rFonts w:ascii="Leelawadee UI" w:hAnsi="Leelawadee UI" w:eastAsia="Leelawadee UI" w:cs="Leelawadee UI"/>
        </w:rPr>
        <w:t>លេខបី</w:t>
      </w:r>
    </w:p>
    <w:p>
      <w:pPr>
        <w:pStyle w:val="ArticleSubtitle"/>
        <w:jc w:val="left"/>
      </w:pPr>
      <w:r>
        <w:rPr>
          <w:rFonts w:ascii="Arial" w:hAnsi="Arial" w:eastAsia="Arial" w:cs="Arial"/>
        </w:rPr>
        <w:t>Apa Aturan-aturannya?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“Re tshwanetse go itse ka borona gore Bokeresete ke eng, boammaaruri ke eng, tumelo e re e amogetseng ke efe, le gore melao ya Baebele ke efe—melao e re e neilweng go tswa kwa taolong e e kwa godimo thata.” The 1888 Materials, 403.</w:t>
      </w:r>
    </w:p>
    <w:p>
      <w:pPr>
        <w:pStyle w:val="ArticleBody"/>
        <w:jc w:val="left"/>
      </w:pPr>
      <w:r>
        <w:rPr>
          <w:rFonts w:ascii="Times New Roman" w:hAnsi="Times New Roman" w:eastAsia="Times New Roman" w:cs="Times New Roman"/>
        </w:rPr>
        <w:t>Selama beberapa tahun, Future for America telah mengidentifikasi bahwa tujuh jemaat dalam Wahyu bukan sahaja melambangkan sejarah Israel moden sejak zaman para rasul hingga ke akhir dunia, tetapi juga bahawa tujuh jemaat itu melambangkan Israel purba sejak zaman Musa hingga kepada perajaman Stefanus. Para perintis Adventisme tidak mengajarkan kebenaran ini, namun mereka memahami dan menggunakan prinsip-prinsip yang menegakkan kebenaran ini. Yesus menyatakan kesudahan sejak dari permulaan, dan Israel purba melambangkan Israel moden. Oleh itu, setiap kebenaran yang merupakan sebahagian daripada ciri-ciri kenabian Israel moden juga telah wujud dalam Israel purba.</w:t>
      </w:r>
    </w:p>
    <w:p>
      <w:pPr>
        <w:pStyle w:val="ArticleBody"/>
        <w:jc w:val="left"/>
      </w:pPr>
      <w:r>
        <w:rPr>
          <w:rFonts w:ascii="Nirmala UI" w:hAnsi="Nirmala UI" w:eastAsia="Nirmala UI" w:cs="Nirmala UI"/>
        </w:rPr>
        <w:t>पहिलेका</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इतिहासअगाडि</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मण्डलीहरूबारे</w:t>
      </w:r>
      <w:r>
        <w:rPr>
          <w:rFonts w:ascii="Times New Roman" w:hAnsi="Times New Roman" w:eastAsia="Times New Roman" w:cs="Times New Roman"/>
        </w:rPr>
        <w:t xml:space="preserve"> </w:t>
      </w:r>
      <w:r>
        <w:rPr>
          <w:rFonts w:ascii="Nirmala UI" w:hAnsi="Nirmala UI" w:eastAsia="Nirmala UI" w:cs="Nirmala UI"/>
        </w:rPr>
        <w:t>परम्परागत</w:t>
      </w:r>
      <w:r>
        <w:rPr>
          <w:rFonts w:ascii="Times New Roman" w:hAnsi="Times New Roman" w:eastAsia="Times New Roman" w:cs="Times New Roman"/>
        </w:rPr>
        <w:t xml:space="preserve"> </w:t>
      </w:r>
      <w:r>
        <w:rPr>
          <w:rFonts w:ascii="Nirmala UI" w:hAnsi="Nirmala UI" w:eastAsia="Nirmala UI" w:cs="Nirmala UI"/>
        </w:rPr>
        <w:t>ख्रीष्टिय</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यूहन्नाको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एशिया</w:t>
      </w:r>
      <w:r>
        <w:rPr>
          <w:rFonts w:ascii="Times New Roman" w:hAnsi="Times New Roman" w:eastAsia="Times New Roman" w:cs="Times New Roman"/>
        </w:rPr>
        <w:t xml:space="preserve"> </w:t>
      </w:r>
      <w:r>
        <w:rPr>
          <w:rFonts w:ascii="Nirmala UI" w:hAnsi="Nirmala UI" w:eastAsia="Nirmala UI" w:cs="Nirmala UI"/>
        </w:rPr>
        <w:t>माइनरमा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मण्डलीहरूलाई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गर्थे।</w:t>
      </w:r>
      <w:r>
        <w:rPr>
          <w:rFonts w:ascii="Times New Roman" w:hAnsi="Times New Roman" w:eastAsia="Times New Roman" w:cs="Times New Roman"/>
        </w:rPr>
        <w:t xml:space="preserve"> </w:t>
      </w:r>
      <w:r>
        <w:rPr>
          <w:rFonts w:ascii="Nirmala UI" w:hAnsi="Nirmala UI" w:eastAsia="Nirmala UI" w:cs="Nirmala UI"/>
        </w:rPr>
        <w:t>परम्परागत</w:t>
      </w:r>
      <w:r>
        <w:rPr>
          <w:rFonts w:ascii="Times New Roman" w:hAnsi="Times New Roman" w:eastAsia="Times New Roman" w:cs="Times New Roman"/>
        </w:rPr>
        <w:t xml:space="preserve"> </w:t>
      </w:r>
      <w:r>
        <w:rPr>
          <w:rFonts w:ascii="Nirmala UI" w:hAnsi="Nirmala UI" w:eastAsia="Nirmala UI" w:cs="Nirmala UI"/>
        </w:rPr>
        <w:t>दृष्टिकोणले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बुझेको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मण्डलीहरूलाई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सल्लाहलाई</w:t>
      </w:r>
      <w:r>
        <w:rPr>
          <w:rFonts w:ascii="Times New Roman" w:hAnsi="Times New Roman" w:eastAsia="Times New Roman" w:cs="Times New Roman"/>
        </w:rPr>
        <w:t xml:space="preserve"> </w:t>
      </w:r>
      <w:r>
        <w:rPr>
          <w:rFonts w:ascii="Nirmala UI" w:hAnsi="Nirmala UI" w:eastAsia="Nirmala UI" w:cs="Nirmala UI"/>
        </w:rPr>
        <w:t>ख्रीष्टिय</w:t>
      </w:r>
      <w:r>
        <w:rPr>
          <w:rFonts w:ascii="Times New Roman" w:hAnsi="Times New Roman" w:eastAsia="Times New Roman" w:cs="Times New Roman"/>
        </w:rPr>
        <w:t xml:space="preserve"> </w:t>
      </w:r>
      <w:r>
        <w:rPr>
          <w:rFonts w:ascii="Nirmala UI" w:hAnsi="Nirmala UI" w:eastAsia="Nirmala UI" w:cs="Nirmala UI"/>
        </w:rPr>
        <w:t>इतिहासभरिका</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मण्डलीहरूका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सल्लाहको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सल्लाह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चेतावनीहरू</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ख्रीष्टियनहरूका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बुझेका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मण्डलीहरूले</w:t>
      </w:r>
      <w:r>
        <w:rPr>
          <w:rFonts w:ascii="Times New Roman" w:hAnsi="Times New Roman" w:eastAsia="Times New Roman" w:cs="Times New Roman"/>
        </w:rPr>
        <w:t xml:space="preserve"> </w:t>
      </w:r>
      <w:r>
        <w:rPr>
          <w:rFonts w:ascii="Nirmala UI" w:hAnsi="Nirmala UI" w:eastAsia="Nirmala UI" w:cs="Nirmala UI"/>
        </w:rPr>
        <w:t>चेलाहरूको</w:t>
      </w:r>
      <w:r>
        <w:rPr>
          <w:rFonts w:ascii="Times New Roman" w:hAnsi="Times New Roman" w:eastAsia="Times New Roman" w:cs="Times New Roman"/>
        </w:rPr>
        <w:t xml:space="preserve"> </w:t>
      </w:r>
      <w:r>
        <w:rPr>
          <w:rFonts w:ascii="Nirmala UI" w:hAnsi="Nirmala UI" w:eastAsia="Nirmala UI" w:cs="Nirmala UI"/>
        </w:rPr>
        <w:t>समयदेखि</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अन्त्यसम्मको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अवधिहरूलाई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दृष्टिकोणहरू</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इतिहासभन्दा</w:t>
      </w:r>
      <w:r>
        <w:rPr>
          <w:rFonts w:ascii="Times New Roman" w:hAnsi="Times New Roman" w:eastAsia="Times New Roman" w:cs="Times New Roman"/>
        </w:rPr>
        <w:t xml:space="preserve"> </w:t>
      </w:r>
      <w:r>
        <w:rPr>
          <w:rFonts w:ascii="Nirmala UI" w:hAnsi="Nirmala UI" w:eastAsia="Nirmala UI" w:cs="Nirmala UI"/>
        </w:rPr>
        <w:t>अघिका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मिलरभन्दा</w:t>
      </w:r>
      <w:r>
        <w:rPr>
          <w:rFonts w:ascii="Times New Roman" w:hAnsi="Times New Roman" w:eastAsia="Times New Roman" w:cs="Times New Roman"/>
        </w:rPr>
        <w:t xml:space="preserve"> </w:t>
      </w:r>
      <w:r>
        <w:rPr>
          <w:rFonts w:ascii="Nirmala UI" w:hAnsi="Nirmala UI" w:eastAsia="Nirmala UI" w:cs="Nirmala UI"/>
        </w:rPr>
        <w:t>अघिदेखि</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परम्परागत</w:t>
      </w:r>
      <w:r>
        <w:rPr>
          <w:rFonts w:ascii="Times New Roman" w:hAnsi="Times New Roman" w:eastAsia="Times New Roman" w:cs="Times New Roman"/>
        </w:rPr>
        <w:t xml:space="preserve"> </w:t>
      </w:r>
      <w:r>
        <w:rPr>
          <w:rFonts w:ascii="Nirmala UI" w:hAnsi="Nirmala UI" w:eastAsia="Nirmala UI" w:cs="Nirmala UI"/>
        </w:rPr>
        <w:t>दृष्टिकोणलाई</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मण्डलीहरूबारेका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मान्यताहरू</w:t>
      </w:r>
      <w:r>
        <w:rPr>
          <w:rFonts w:ascii="Times New Roman" w:hAnsi="Times New Roman" w:eastAsia="Times New Roman" w:cs="Times New Roman"/>
        </w:rPr>
        <w:t xml:space="preserve"> “</w:t>
      </w:r>
      <w:r>
        <w:rPr>
          <w:rFonts w:ascii="Nirmala UI" w:hAnsi="Nirmala UI" w:eastAsia="Nirmala UI" w:cs="Nirmala UI"/>
        </w:rPr>
        <w:t>इतिहासवादी</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व्याख्यामा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अपनाउन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मिलरलाई</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w:t>
      </w:r>
    </w:p>
    <w:p>
      <w:pPr>
        <w:pStyle w:val="ArticleScripture"/>
        <w:jc w:val="left"/>
      </w:pPr>
      <w:r>
        <w:rPr>
          <w:rFonts w:ascii="Times New Roman" w:hAnsi="Times New Roman" w:eastAsia="Times New Roman" w:cs="Times New Roman"/>
        </w:rPr>
        <w:t>“</w:t>
      </w:r>
      <w:r>
        <w:rPr>
          <w:rFonts w:ascii="Nirmala UI" w:hAnsi="Nirmala UI" w:eastAsia="Nirmala UI" w:cs="Nirmala UI"/>
        </w:rPr>
        <w:t>තීර්ත</w:t>
      </w:r>
      <w:r>
        <w:rPr>
          <w:rFonts w:ascii="Times New Roman" w:hAnsi="Times New Roman" w:eastAsia="Times New Roman" w:cs="Times New Roman"/>
        </w:rPr>
        <w:t xml:space="preserve"> </w:t>
      </w:r>
      <w:r>
        <w:rPr>
          <w:rFonts w:ascii="Nirmala UI" w:hAnsi="Nirmala UI" w:eastAsia="Nirmala UI" w:cs="Nirmala UI"/>
        </w:rPr>
        <w:t>සභා</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ඉතිහාසයය</w:t>
      </w:r>
      <w:r>
        <w:rPr>
          <w:rFonts w:ascii="Times New Roman" w:hAnsi="Times New Roman" w:eastAsia="Times New Roman" w:cs="Times New Roman"/>
        </w:rPr>
        <w:t xml:space="preserve">; </w:t>
      </w:r>
      <w:r>
        <w:rPr>
          <w:rFonts w:ascii="Nirmala UI" w:hAnsi="Nirmala UI" w:eastAsia="Nirmala UI" w:cs="Nirmala UI"/>
        </w:rPr>
        <w:t>ඇයගේ</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ආකාරයන්හි</w:t>
      </w:r>
      <w:r>
        <w:rPr>
          <w:rFonts w:ascii="Times New Roman" w:hAnsi="Times New Roman" w:eastAsia="Times New Roman" w:cs="Times New Roman"/>
        </w:rPr>
        <w:t xml:space="preserve">, </w:t>
      </w:r>
      <w:r>
        <w:rPr>
          <w:rFonts w:ascii="Nirmala UI" w:hAnsi="Nirmala UI" w:eastAsia="Nirmala UI" w:cs="Nirmala UI"/>
        </w:rPr>
        <w:t>ඇයගේ</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රත්වයන්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හැරීම්වල</w:t>
      </w:r>
      <w:r>
        <w:rPr>
          <w:rFonts w:ascii="Times New Roman" w:hAnsi="Times New Roman" w:eastAsia="Times New Roman" w:cs="Times New Roman"/>
        </w:rPr>
        <w:t xml:space="preserve">, </w:t>
      </w:r>
      <w:r>
        <w:rPr>
          <w:rFonts w:ascii="Nirmala UI" w:hAnsi="Nirmala UI" w:eastAsia="Nirmala UI" w:cs="Nirmala UI"/>
        </w:rPr>
        <w:t>ඇයගේ</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සමෘද්ධිය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විපත්තිවල</w:t>
      </w:r>
      <w:r>
        <w:rPr>
          <w:rFonts w:ascii="Times New Roman" w:hAnsi="Times New Roman" w:eastAsia="Times New Roman" w:cs="Times New Roman"/>
        </w:rPr>
        <w:t xml:space="preserve">, </w:t>
      </w:r>
      <w:r>
        <w:rPr>
          <w:rFonts w:ascii="Nirmala UI" w:hAnsi="Nirmala UI" w:eastAsia="Nirmala UI" w:cs="Nirmala UI"/>
        </w:rPr>
        <w:t>අපොස්තුලුවරුන්ගේ</w:t>
      </w:r>
      <w:r>
        <w:rPr>
          <w:rFonts w:ascii="Times New Roman" w:hAnsi="Times New Roman" w:eastAsia="Times New Roman" w:cs="Times New Roman"/>
        </w:rPr>
        <w:t xml:space="preserve"> </w:t>
      </w:r>
      <w:r>
        <w:rPr>
          <w:rFonts w:ascii="Nirmala UI" w:hAnsi="Nirmala UI" w:eastAsia="Nirmala UI" w:cs="Nirmala UI"/>
        </w:rPr>
        <w:t>දිනවල</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දක්වාය</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ඒම</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පුරාම</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සම්බන්ධයෙන්</w:t>
      </w:r>
      <w:r>
        <w:rPr>
          <w:rFonts w:ascii="Times New Roman" w:hAnsi="Times New Roman" w:eastAsia="Times New Roman" w:cs="Times New Roman"/>
        </w:rPr>
        <w:t xml:space="preserve"> </w:t>
      </w:r>
      <w:r>
        <w:rPr>
          <w:rFonts w:ascii="Nirmala UI" w:hAnsi="Nirmala UI" w:eastAsia="Nirmala UI" w:cs="Nirmala UI"/>
        </w:rPr>
        <w:t>පොළොවේ</w:t>
      </w:r>
      <w:r>
        <w:rPr>
          <w:rFonts w:ascii="Times New Roman" w:hAnsi="Times New Roman" w:eastAsia="Times New Roman" w:cs="Times New Roman"/>
        </w:rPr>
        <w:t xml:space="preserve"> </w:t>
      </w:r>
      <w:r>
        <w:rPr>
          <w:rFonts w:ascii="Nirmala UI" w:hAnsi="Nirmala UI" w:eastAsia="Nirmala UI" w:cs="Nirmala UI"/>
        </w:rPr>
        <w:t>බලවතුන්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රජවරුන්ගේ</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රියාකාරකම්වල</w:t>
      </w:r>
      <w:r>
        <w:rPr>
          <w:rFonts w:ascii="Times New Roman" w:hAnsi="Times New Roman" w:eastAsia="Times New Roman" w:cs="Times New Roman"/>
        </w:rPr>
        <w:t xml:space="preserve"> </w:t>
      </w:r>
      <w:r>
        <w:rPr>
          <w:rFonts w:ascii="Nirmala UI" w:hAnsi="Nirmala UI" w:eastAsia="Nirmala UI" w:cs="Nirmala UI"/>
        </w:rPr>
        <w:t>ඉතිහාසයත්</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කෙරෙහි</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ආරක්ෂාවත්ය</w:t>
      </w:r>
      <w:r>
        <w:rPr>
          <w:rFonts w:ascii="Times New Roman" w:hAnsi="Times New Roman" w:eastAsia="Times New Roman" w:cs="Times New Roman"/>
        </w:rPr>
        <w:t xml:space="preserve">. </w:t>
      </w:r>
      <w:r>
        <w:rPr>
          <w:rFonts w:ascii="Nirmala UI" w:hAnsi="Nirmala UI" w:eastAsia="Nirmala UI" w:cs="Nirmala UI"/>
        </w:rPr>
        <w:t>නළා</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පොළොව</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පණවා</w:t>
      </w:r>
      <w:r>
        <w:rPr>
          <w:rFonts w:ascii="Times New Roman" w:hAnsi="Times New Roman" w:eastAsia="Times New Roman" w:cs="Times New Roman"/>
        </w:rPr>
        <w:t xml:space="preserve"> </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විශේෂ</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බරපතල</w:t>
      </w:r>
      <w:r>
        <w:rPr>
          <w:rFonts w:ascii="Times New Roman" w:hAnsi="Times New Roman" w:eastAsia="Times New Roman" w:cs="Times New Roman"/>
        </w:rPr>
        <w:t xml:space="preserve"> </w:t>
      </w:r>
      <w:r>
        <w:rPr>
          <w:rFonts w:ascii="Nirmala UI" w:hAnsi="Nirmala UI" w:eastAsia="Nirmala UI" w:cs="Nirmala UI"/>
        </w:rPr>
        <w:t>විනිශ්චයන්</w:t>
      </w:r>
      <w:r>
        <w:rPr>
          <w:rFonts w:ascii="Times New Roman" w:hAnsi="Times New Roman" w:eastAsia="Times New Roman" w:cs="Times New Roman"/>
        </w:rPr>
        <w:t xml:space="preserve"> </w:t>
      </w:r>
      <w:r>
        <w:rPr>
          <w:rFonts w:ascii="Nirmala UI" w:hAnsi="Nirmala UI" w:eastAsia="Nirmala UI" w:cs="Nirmala UI"/>
        </w:rPr>
        <w:t>සතක</w:t>
      </w:r>
      <w:r>
        <w:rPr>
          <w:rFonts w:ascii="Times New Roman" w:hAnsi="Times New Roman" w:eastAsia="Times New Roman" w:cs="Times New Roman"/>
        </w:rPr>
        <w:t xml:space="preserve"> </w:t>
      </w:r>
      <w:r>
        <w:rPr>
          <w:rFonts w:ascii="Nirmala UI" w:hAnsi="Nirmala UI" w:eastAsia="Nirmala UI" w:cs="Nirmala UI"/>
        </w:rPr>
        <w:t>ඉතිහාසයකි</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පාප්වාදී</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වසංගත</w:t>
      </w:r>
      <w:r>
        <w:rPr>
          <w:rFonts w:ascii="Times New Roman" w:hAnsi="Times New Roman" w:eastAsia="Times New Roman" w:cs="Times New Roman"/>
        </w:rPr>
        <w:t xml:space="preserve"> </w:t>
      </w:r>
      <w:r>
        <w:rPr>
          <w:rFonts w:ascii="Nirmala UI" w:hAnsi="Nirmala UI" w:eastAsia="Nirmala UI" w:cs="Nirmala UI"/>
        </w:rPr>
        <w:t>සතය</w:t>
      </w:r>
      <w:r>
        <w:rPr>
          <w:rFonts w:ascii="Times New Roman" w:hAnsi="Times New Roman" w:eastAsia="Times New Roman" w:cs="Times New Roman"/>
        </w:rPr>
        <w:t xml:space="preserve">. </w:t>
      </w:r>
      <w:r>
        <w:rPr>
          <w:rFonts w:ascii="Nirmala UI" w:hAnsi="Nirmala UI" w:eastAsia="Nirmala UI" w:cs="Nirmala UI"/>
        </w:rPr>
        <w:t>මේවාට</w:t>
      </w:r>
      <w:r>
        <w:rPr>
          <w:rFonts w:ascii="Times New Roman" w:hAnsi="Times New Roman" w:eastAsia="Times New Roman" w:cs="Times New Roman"/>
        </w:rPr>
        <w:t xml:space="preserve"> </w:t>
      </w:r>
      <w:r>
        <w:rPr>
          <w:rFonts w:ascii="Nirmala UI" w:hAnsi="Nirmala UI" w:eastAsia="Nirmala UI" w:cs="Nirmala UI"/>
        </w:rPr>
        <w:t>සමගාමීව</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සිදුවීම්</w:t>
      </w:r>
      <w:r>
        <w:rPr>
          <w:rFonts w:ascii="Times New Roman" w:hAnsi="Times New Roman" w:eastAsia="Times New Roman" w:cs="Times New Roman"/>
        </w:rPr>
        <w:t xml:space="preserve"> </w:t>
      </w:r>
      <w:r>
        <w:rPr>
          <w:rFonts w:ascii="Nirmala UI" w:hAnsi="Nirmala UI" w:eastAsia="Nirmala UI" w:cs="Nirmala UI"/>
        </w:rPr>
        <w:t>මිශ්</w:t>
      </w:r>
      <w:r>
        <w:rPr>
          <w:rFonts w:ascii="Times New Roman" w:hAnsi="Times New Roman" w:eastAsia="Times New Roman" w:cs="Times New Roman"/>
        </w:rPr>
        <w:t>‍</w:t>
      </w:r>
      <w:r>
        <w:rPr>
          <w:rFonts w:ascii="Nirmala UI" w:hAnsi="Nirmala UI" w:eastAsia="Nirmala UI" w:cs="Nirmala UI"/>
        </w:rPr>
        <w:t>රව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අනුධාරා</w:t>
      </w:r>
      <w:r>
        <w:rPr>
          <w:rFonts w:ascii="Times New Roman" w:hAnsi="Times New Roman" w:eastAsia="Times New Roman" w:cs="Times New Roman"/>
        </w:rPr>
        <w:t xml:space="preserve"> </w:t>
      </w:r>
      <w:r>
        <w:rPr>
          <w:rFonts w:ascii="Nirmala UI" w:hAnsi="Nirmala UI" w:eastAsia="Nirmala UI" w:cs="Nirmala UI"/>
        </w:rPr>
        <w:t>ගංගාවන්</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වියනලදව</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ගංගාව</w:t>
      </w:r>
      <w:r>
        <w:rPr>
          <w:rFonts w:ascii="Times New Roman" w:hAnsi="Times New Roman" w:eastAsia="Times New Roman" w:cs="Times New Roman"/>
        </w:rPr>
        <w:t xml:space="preserve"> </w:t>
      </w:r>
      <w:r>
        <w:rPr>
          <w:rFonts w:ascii="Nirmala UI" w:hAnsi="Nirmala UI" w:eastAsia="Nirmala UI" w:cs="Nirmala UI"/>
        </w:rPr>
        <w:t>පුරවා</w:t>
      </w:r>
      <w:r>
        <w:rPr>
          <w:rFonts w:ascii="Times New Roman" w:hAnsi="Times New Roman" w:eastAsia="Times New Roman" w:cs="Times New Roman"/>
        </w:rPr>
        <w:t xml:space="preserve"> </w:t>
      </w:r>
      <w:r>
        <w:rPr>
          <w:rFonts w:ascii="Nirmala UI" w:hAnsi="Nirmala UI" w:eastAsia="Nirmala UI" w:cs="Nirmala UI"/>
        </w:rPr>
        <w:t>දමමින්</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සමස්තයම</w:t>
      </w:r>
      <w:r>
        <w:rPr>
          <w:rFonts w:ascii="Times New Roman" w:hAnsi="Times New Roman" w:eastAsia="Times New Roman" w:cs="Times New Roman"/>
        </w:rPr>
        <w:t xml:space="preserve"> </w:t>
      </w:r>
      <w:r>
        <w:rPr>
          <w:rFonts w:ascii="Nirmala UI" w:hAnsi="Nirmala UI" w:eastAsia="Nirmala UI" w:cs="Nirmala UI"/>
        </w:rPr>
        <w:t>සදාකාලිකත්වයේ</w:t>
      </w:r>
      <w:r>
        <w:rPr>
          <w:rFonts w:ascii="Times New Roman" w:hAnsi="Times New Roman" w:eastAsia="Times New Roman" w:cs="Times New Roman"/>
        </w:rPr>
        <w:t xml:space="preserve"> </w:t>
      </w:r>
      <w:r>
        <w:rPr>
          <w:rFonts w:ascii="Nirmala UI" w:hAnsi="Nirmala UI" w:eastAsia="Nirmala UI" w:cs="Nirmala UI"/>
        </w:rPr>
        <w:t>සාගරයට</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අපහසු</w:t>
      </w:r>
      <w:r>
        <w:rPr>
          <w:rFonts w:ascii="Times New Roman" w:hAnsi="Times New Roman" w:eastAsia="Times New Roman" w:cs="Times New Roman"/>
        </w:rPr>
        <w:t xml:space="preserve"> </w:t>
      </w:r>
      <w:r>
        <w:rPr>
          <w:rFonts w:ascii="Nirmala UI" w:hAnsi="Nirmala UI" w:eastAsia="Nirmala UI" w:cs="Nirmala UI"/>
        </w:rPr>
        <w:t>කරවයි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“Tiada, menurut pandangan saya, ialah rancangan nubuat Yohanes dalam kitab Wahyu. Dan orang yang ingin memahami kitab ini mesti mempunyai pengetahuan yang mendalam tentang bahagian-bahagian lain daripada firman Tuhan. Lambang-lambang dan kiasan-kiasan yang digunakan dalam nubuat ini tidak semuanya dijelaskan di dalam nubuat yang sama, melainkan harus ditemukan dalam nabi-nabi yang lain, dan dijelaskan dalam petikan-petikan Kitab Suci yang lain. Oleh itu, nyata bahawa Tuhan telah menetapkan pengkajian akan keseluruhannya, bahkan untuk memperoleh pengetahuan yang jelas tentang mana-mana bahagiannya.” William Miller, Miller’s Lectures, jilid 2, syarahan 12, 178.</w:t>
      </w:r>
    </w:p>
    <w:p>
      <w:pPr>
        <w:pStyle w:val="ArticleBody"/>
        <w:jc w:val="left"/>
      </w:pPr>
      <w:r>
        <w:rPr>
          <w:rFonts w:ascii="Times New Roman" w:hAnsi="Times New Roman" w:eastAsia="Times New Roman" w:cs="Times New Roman"/>
        </w:rPr>
        <w:t>Sisi White bertetuju dengan dan menegakkan pandangan “historis” yang dipegang oleh Miller, namun beliau menambahkan suatu pengertian yang lebih mendalam tentang kitab Wahyu daripada yang dilihat oleh Miller, kerana Miller tidak mengenali tempat kudus sebagaimana hakikatnya yang sebenar. Dia memahami tempat kudus itu sebagai bumi. Sisi White menyedari bahawa ketika Yesus mengemukakan nubuat-nubuat yang digambarkan dalam kitab Wahyu, Kristus sedang melakukannya seiring dengan pekerjaan-Nya sebagai Imam Besar surgawi.</w:t>
      </w:r>
    </w:p>
    <w:p>
      <w:pPr>
        <w:pStyle w:val="ArticleBody"/>
        <w:jc w:val="left"/>
      </w:pPr>
      <w:r>
        <w:rPr>
          <w:rFonts w:ascii="Times New Roman" w:hAnsi="Times New Roman" w:eastAsia="Times New Roman" w:cs="Times New Roman"/>
        </w:rPr>
        <w:t>Johani a tshi rembuluwa a vhona Kristo, U khou tshimbila vhukati ha zwa u vhea zwiedza o ambara nguvho dza vhuṱshifhe, nahone zwa u vhea zwiedza zwo vhewa fhethu hukhethwa, ngauralo nḓivhazwakale ya nga murahu ha u gonya Hae ṱaḓulu, fhedzi musi A sa athu u dzhena Fhethu Hukhethwaho Nga Hoṱhe nga 1844. Miller o vha a sa koni u pfesesa ndeme ya vhukuma ha heḽi fhungo. Na Tyndale, Luther kana John Wycliffe, kana muthihi wa vhashanduki vha u thoma, vho vha vha sa nga zwi koni. Ngoho i ya bvela phanḓa, i tshi penya nga u vhonala hu fhiraho nahone i tshi kha ḓi penya u swika kha duvha ḽo fhelelaho.</w:t>
      </w:r>
    </w:p>
    <w:p>
      <w:pPr>
        <w:pStyle w:val="ArticleScripture"/>
        <w:jc w:val="left"/>
      </w:pPr>
      <w:r>
        <w:rPr>
          <w:rFonts w:ascii="Times New Roman" w:hAnsi="Times New Roman" w:eastAsia="Times New Roman" w:cs="Times New Roman"/>
        </w:rPr>
        <w:t>“</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নীতিটি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রবিনসন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উইলিয়ামস</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মহত্ত্বের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সমর্থন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ক্রমোন্নতিশীল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খ্রিষ্টানদের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উদ্ভাসিত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সদা</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বংশধরদের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দৃষ্টির</w:t>
      </w:r>
      <w:r>
        <w:rPr>
          <w:rFonts w:ascii="Times New Roman" w:hAnsi="Times New Roman" w:eastAsia="Times New Roman" w:cs="Times New Roman"/>
        </w:rPr>
        <w:t xml:space="preserve"> </w:t>
      </w:r>
      <w:r>
        <w:rPr>
          <w:rFonts w:ascii="Nirmala UI" w:hAnsi="Nirmala UI" w:eastAsia="Nirmala UI" w:cs="Nirmala UI"/>
        </w:rPr>
        <w:t>আড়ালে</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আমেরিকার</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মণ্ডলীগুলি</w:t>
      </w: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ইউরোপেরগুলিও</w:t>
      </w:r>
      <w:r>
        <w:rPr>
          <w:rFonts w:ascii="Times New Roman" w:hAnsi="Times New Roman" w:eastAsia="Times New Roman" w:cs="Times New Roman"/>
        </w:rPr>
        <w:t>—</w:t>
      </w:r>
      <w:r>
        <w:rPr>
          <w:rFonts w:ascii="Nirmala UI" w:hAnsi="Nirmala UI" w:eastAsia="Nirmala UI" w:cs="Nirmala UI"/>
        </w:rPr>
        <w:t>সংস্কার</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আশীর্বাদ</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উচ্চভাবে</w:t>
      </w:r>
      <w:r>
        <w:rPr>
          <w:rFonts w:ascii="Times New Roman" w:hAnsi="Times New Roman" w:eastAsia="Times New Roman" w:cs="Times New Roman"/>
        </w:rPr>
        <w:t xml:space="preserve"> </w:t>
      </w:r>
      <w:r>
        <w:rPr>
          <w:rFonts w:ascii="Nirmala UI" w:hAnsi="Nirmala UI" w:eastAsia="Nirmala UI" w:cs="Nirmala UI"/>
        </w:rPr>
        <w:t>অনুগ্রহপ্রাপ্ত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সত্ত্বেও</w:t>
      </w:r>
      <w:r>
        <w:rPr>
          <w:rFonts w:ascii="Times New Roman" w:hAnsi="Times New Roman" w:eastAsia="Times New Roman" w:cs="Times New Roman"/>
        </w:rPr>
        <w:t xml:space="preserve">, </w:t>
      </w:r>
      <w:r>
        <w:rPr>
          <w:rFonts w:ascii="Nirmala UI" w:hAnsi="Nirmala UI" w:eastAsia="Nirmala UI" w:cs="Nirmala UI"/>
        </w:rPr>
        <w:t>সংস্কারের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কয়েকজন</w:t>
      </w:r>
      <w:r>
        <w:rPr>
          <w:rFonts w:ascii="Times New Roman" w:hAnsi="Times New Roman" w:eastAsia="Times New Roman" w:cs="Times New Roman"/>
        </w:rPr>
        <w:t xml:space="preserve"> </w:t>
      </w:r>
      <w:r>
        <w:rPr>
          <w:rFonts w:ascii="Nirmala UI" w:hAnsi="Nirmala UI" w:eastAsia="Nirmala UI" w:cs="Nirmala UI"/>
        </w:rPr>
        <w:t>বিশ্বস্ত</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দীর্ঘকাল</w:t>
      </w:r>
      <w:r>
        <w:rPr>
          <w:rFonts w:ascii="Times New Roman" w:hAnsi="Times New Roman" w:eastAsia="Times New Roman" w:cs="Times New Roman"/>
        </w:rPr>
        <w:t xml:space="preserve"> </w:t>
      </w:r>
      <w:r>
        <w:rPr>
          <w:rFonts w:ascii="Nirmala UI" w:hAnsi="Nirmala UI" w:eastAsia="Nirmala UI" w:cs="Nirmala UI"/>
        </w:rPr>
        <w:t>লালিত</w:t>
      </w:r>
      <w:r>
        <w:rPr>
          <w:rFonts w:ascii="Times New Roman" w:hAnsi="Times New Roman" w:eastAsia="Times New Roman" w:cs="Times New Roman"/>
        </w:rPr>
        <w:t xml:space="preserve"> </w:t>
      </w:r>
      <w:r>
        <w:rPr>
          <w:rFonts w:ascii="Nirmala UI" w:hAnsi="Nirmala UI" w:eastAsia="Nirmala UI" w:cs="Nirmala UI"/>
        </w:rPr>
        <w:t>ভ্রান্তিকে</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দাঁড়িয়েছিলেন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সংখ্যাগরিষ্ঠরা</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লুথারের</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পাপিস্টদের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পিতৃপুরুষেরা</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জীবনযাপন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জীবনযাপন</w:t>
      </w:r>
      <w:r>
        <w:rPr>
          <w:rFonts w:ascii="Times New Roman" w:hAnsi="Times New Roman" w:eastAsia="Times New Roman" w:cs="Times New Roman"/>
        </w:rPr>
        <w:t xml:space="preserve"> </w:t>
      </w:r>
      <w:r>
        <w:rPr>
          <w:rFonts w:ascii="Nirmala UI" w:hAnsi="Nirmala UI" w:eastAsia="Nirmala UI" w:cs="Nirmala UI"/>
        </w:rPr>
        <w:t>করতেই</w:t>
      </w:r>
      <w:r>
        <w:rPr>
          <w:rFonts w:ascii="Times New Roman" w:hAnsi="Times New Roman" w:eastAsia="Times New Roman" w:cs="Times New Roman"/>
        </w:rPr>
        <w:t xml:space="preserve"> </w:t>
      </w:r>
      <w:r>
        <w:rPr>
          <w:rFonts w:ascii="Nirmala UI" w:hAnsi="Nirmala UI" w:eastAsia="Nirmala UI" w:cs="Nirmala UI"/>
        </w:rPr>
        <w:t>সন্তুষ্ট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আনুষ্ঠানিকতায়</w:t>
      </w:r>
      <w:r>
        <w:rPr>
          <w:rFonts w:ascii="Times New Roman" w:hAnsi="Times New Roman" w:eastAsia="Times New Roman" w:cs="Times New Roman"/>
        </w:rPr>
        <w:t xml:space="preserve"> </w:t>
      </w:r>
      <w:r>
        <w:rPr>
          <w:rFonts w:ascii="Nirmala UI" w:hAnsi="Nirmala UI" w:eastAsia="Nirmala UI" w:cs="Nirmala UI"/>
        </w:rPr>
        <w:t>অধঃপতিত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কুসংস্কারগুলি</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আলোতে</w:t>
      </w:r>
      <w:r>
        <w:rPr>
          <w:rFonts w:ascii="Times New Roman" w:hAnsi="Times New Roman" w:eastAsia="Times New Roman" w:cs="Times New Roman"/>
        </w:rPr>
        <w:t xml:space="preserve"> </w:t>
      </w:r>
      <w:r>
        <w:rPr>
          <w:rFonts w:ascii="Nirmala UI" w:hAnsi="Nirmala UI" w:eastAsia="Nirmala UI" w:cs="Nirmala UI"/>
        </w:rPr>
        <w:t>চলতে</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পরিত্যক্ত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সেগুলিই</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লালন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সংস্কার</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নিঃশেষ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লুথারের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রোমান</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সংস্কারের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মণ্ডলীগুলির</w:t>
      </w:r>
      <w:r>
        <w:rPr>
          <w:rFonts w:ascii="Times New Roman" w:hAnsi="Times New Roman" w:eastAsia="Times New Roman" w:cs="Times New Roman"/>
        </w:rPr>
        <w:t xml:space="preserve"> </w:t>
      </w:r>
      <w:r>
        <w:rPr>
          <w:rFonts w:ascii="Nirmala UI" w:hAnsi="Nirmala UI" w:eastAsia="Nirmala UI" w:cs="Nirmala UI"/>
        </w:rPr>
        <w:t>মধ্যেও</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ততটাই</w:t>
      </w:r>
      <w:r>
        <w:rPr>
          <w:rFonts w:ascii="Times New Roman" w:hAnsi="Times New Roman" w:eastAsia="Times New Roman" w:cs="Times New Roman"/>
        </w:rPr>
        <w:t xml:space="preserve"> </w:t>
      </w:r>
      <w:r>
        <w:rPr>
          <w:rFonts w:ascii="Nirmala UI" w:hAnsi="Nirmala UI" w:eastAsia="Nirmala UI" w:cs="Nirmala UI"/>
        </w:rPr>
        <w:t>সংস্কারের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জাগতিকতা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জড়তা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মতামতের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অনুরূপ</w:t>
      </w:r>
      <w:r>
        <w:rPr>
          <w:rFonts w:ascii="Times New Roman" w:hAnsi="Times New Roman" w:eastAsia="Times New Roman" w:cs="Times New Roman"/>
        </w:rPr>
        <w:t xml:space="preserve"> </w:t>
      </w:r>
      <w:r>
        <w:rPr>
          <w:rFonts w:ascii="Nirmala UI" w:hAnsi="Nirmala UI" w:eastAsia="Nirmala UI" w:cs="Nirmala UI"/>
        </w:rPr>
        <w:t>শ্রদ্ধা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শিক্ষার</w:t>
      </w:r>
      <w:r>
        <w:rPr>
          <w:rFonts w:ascii="Times New Roman" w:hAnsi="Times New Roman" w:eastAsia="Times New Roman" w:cs="Times New Roman"/>
        </w:rPr>
        <w:t xml:space="preserve"> </w:t>
      </w:r>
      <w:r>
        <w:rPr>
          <w:rFonts w:ascii="Nirmala UI" w:hAnsi="Nirmala UI" w:eastAsia="Nirmala UI" w:cs="Nirmala UI"/>
        </w:rPr>
        <w:t>স্থলে</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তত্ত্বের</w:t>
      </w:r>
      <w:r>
        <w:rPr>
          <w:rFonts w:ascii="Times New Roman" w:hAnsi="Times New Roman" w:eastAsia="Times New Roman" w:cs="Times New Roman"/>
        </w:rPr>
        <w:t xml:space="preserve"> </w:t>
      </w:r>
      <w:r>
        <w:rPr>
          <w:rFonts w:ascii="Nirmala UI" w:hAnsi="Nirmala UI" w:eastAsia="Nirmala UI" w:cs="Nirmala UI"/>
        </w:rPr>
        <w:t>প্রতিস্থাপন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The Great Controversy, 297.</w:t>
      </w:r>
    </w:p>
    <w:p>
      <w:pPr>
        <w:pStyle w:val="ArticleBody"/>
        <w:jc w:val="left"/>
      </w:pPr>
      <w:r>
        <w:rPr>
          <w:rFonts w:ascii="Times New Roman" w:hAnsi="Times New Roman" w:eastAsia="Times New Roman" w:cs="Times New Roman"/>
        </w:rPr>
        <w:t>Sekiranya hakikat bahawa kebenaran berkembang secara berperingkat sepanjang sejarah tidak diakui, maka pentingnya sebarang terang baharu dalam generasi terakhir ini mungkin sekali mustahil untuk dikenali. Apabila seseorang tidak lagi memahami sifat “kebenaran” yang progresif, dia dengan sendirinya mula bergantung pada tradisi, adat kebiasaan, dan bimbingan manusia yang telah jatuh.</w:t>
      </w:r>
    </w:p>
    <w:p>
      <w:pPr>
        <w:pStyle w:val="ArticleBody"/>
        <w:jc w:val="left"/>
      </w:pPr>
      <w:r>
        <w:rPr>
          <w:rFonts w:ascii="Leelawadee UI" w:hAnsi="Leelawadee UI" w:eastAsia="Leelawadee UI" w:cs="Leelawadee UI"/>
        </w:rPr>
        <w:t>វិធីសាស្ត្រដែល</w:t>
      </w:r>
      <w:r>
        <w:rPr>
          <w:rFonts w:ascii="Times New Roman" w:hAnsi="Times New Roman" w:eastAsia="Times New Roman" w:cs="Times New Roman"/>
        </w:rPr>
        <w:t xml:space="preserve"> Miller </w:t>
      </w:r>
      <w:r>
        <w:rPr>
          <w:rFonts w:ascii="Leelawadee UI" w:hAnsi="Leelawadee UI" w:eastAsia="Leelawadee UI" w:cs="Leelawadee UI"/>
        </w:rPr>
        <w:t>បានប្រើ</w:t>
      </w:r>
      <w:r>
        <w:rPr>
          <w:rFonts w:ascii="Times New Roman" w:hAnsi="Times New Roman" w:eastAsia="Times New Roman" w:cs="Times New Roman"/>
        </w:rPr>
        <w:t xml:space="preserve"> </w:t>
      </w:r>
      <w:r>
        <w:rPr>
          <w:rFonts w:ascii="Leelawadee UI" w:hAnsi="Leelawadee UI" w:eastAsia="Leelawadee UI" w:cs="Leelawadee UI"/>
        </w:rPr>
        <w:t>គឺជាសញ្ញាសំគាល់មួយដែលរត់កាត់ខ្សែព្រះបន្ទូលទំនាយទាំងមូល</w:t>
      </w:r>
      <w:r>
        <w:rPr>
          <w:rFonts w:ascii="Times New Roman" w:hAnsi="Times New Roman" w:eastAsia="Times New Roman" w:cs="Times New Roman"/>
        </w:rPr>
        <w:t xml:space="preserve"> </w:t>
      </w:r>
      <w:r>
        <w:rPr>
          <w:rFonts w:ascii="Leelawadee UI" w:hAnsi="Leelawadee UI" w:eastAsia="Leelawadee UI" w:cs="Leelawadee UI"/>
        </w:rPr>
        <w:t>ដែលបង្ហាញសក្ខីភាពអំពីការអភិវឌ្ឍន៍នៃសេចក្ដីពិតព្រះគម្ពីរ</w:t>
      </w:r>
      <w:r>
        <w:rPr>
          <w:rFonts w:ascii="Times New Roman" w:hAnsi="Times New Roman" w:eastAsia="Times New Roman" w:cs="Times New Roman"/>
        </w:rPr>
        <w:t xml:space="preserve"> </w:t>
      </w:r>
      <w:r>
        <w:rPr>
          <w:rFonts w:ascii="Leelawadee UI" w:hAnsi="Leelawadee UI" w:eastAsia="Leelawadee UI" w:cs="Leelawadee UI"/>
        </w:rPr>
        <w:t>ដែលបានចាប់ផ្ដើមតាំងពីសាវកទាំងឡាយ។</w:t>
      </w:r>
      <w:r>
        <w:rPr>
          <w:rFonts w:ascii="Times New Roman" w:hAnsi="Times New Roman" w:eastAsia="Times New Roman" w:cs="Times New Roman"/>
        </w:rPr>
        <w:t xml:space="preserve">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នៅក្នុងសញ្ញាសំគាល់ដែលតំណាងដោយ</w:t>
      </w:r>
      <w:r>
        <w:rPr>
          <w:rFonts w:ascii="Times New Roman" w:hAnsi="Times New Roman" w:eastAsia="Times New Roman" w:cs="Times New Roman"/>
        </w:rPr>
        <w:t xml:space="preserve"> Miller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យើងឃើញការចាប់ផ្ដើមមួយ</w:t>
      </w:r>
      <w:r>
        <w:rPr>
          <w:rFonts w:ascii="Times New Roman" w:hAnsi="Times New Roman" w:eastAsia="Times New Roman" w:cs="Times New Roman"/>
        </w:rPr>
        <w:t xml:space="preserve"> </w:t>
      </w:r>
      <w:r>
        <w:rPr>
          <w:rFonts w:ascii="Leelawadee UI" w:hAnsi="Leelawadee UI" w:eastAsia="Leelawadee UI" w:cs="Leelawadee UI"/>
        </w:rPr>
        <w:t>ដែលទាមទារឲ្យមានគូស្របមួយនៅចុងបញ្ចប់។</w:t>
      </w:r>
      <w:r>
        <w:rPr>
          <w:rFonts w:ascii="Times New Roman" w:hAnsi="Times New Roman" w:eastAsia="Times New Roman" w:cs="Times New Roman"/>
        </w:rPr>
        <w:t xml:space="preserve"> </w:t>
      </w:r>
      <w:r>
        <w:rPr>
          <w:rFonts w:ascii="Leelawadee UI" w:hAnsi="Leelawadee UI" w:eastAsia="Leelawadee UI" w:cs="Leelawadee UI"/>
        </w:rPr>
        <w:t>មនុស្សភាគច្រើនមិនដែលយល់អំពីសេចក្ដីពិតទាំងនេះឡើយ</w:t>
      </w:r>
      <w:r>
        <w:rPr>
          <w:rFonts w:ascii="Times New Roman" w:hAnsi="Times New Roman" w:eastAsia="Times New Roman" w:cs="Times New Roman"/>
        </w:rPr>
        <w:t xml:space="preserve"> </w:t>
      </w:r>
      <w:r>
        <w:rPr>
          <w:rFonts w:ascii="Leelawadee UI" w:hAnsi="Leelawadee UI" w:eastAsia="Leelawadee UI" w:cs="Leelawadee UI"/>
        </w:rPr>
        <w:t>ប៉ុន្តែមិនមែនដូច្នោះសម្រាប់សាតាំងទេ។</w:t>
      </w:r>
    </w:p>
    <w:p>
      <w:pPr>
        <w:pStyle w:val="ArticleBody"/>
        <w:jc w:val="left"/>
      </w:pPr>
      <w:r>
        <w:rPr>
          <w:rFonts w:ascii="Times New Roman" w:hAnsi="Times New Roman" w:eastAsia="Times New Roman" w:cs="Times New Roman"/>
        </w:rPr>
        <w:t>Setan telah menentang kebenaran dan perkembangannya sejak pemberontakannya di surga. Ketika dalam sejarah hal itu mencapai titik di mana para reformator mulai dengan jelas memahami bagaimana mempelajari Alkitab, Setan melakukan sebagaimana yang selalu dilakukannya, yaitu memperkenalkan pemalsuan-pemalsuan. Bukti historis tentang pekerjaannya dalam memalsukan kebenaran menunjukkan bahwa kaum Yesuit seperti Ribera dan Louis de Alcazar memusatkan metodologi pemalsuan mereka secara khusus terhadap kitab Wahyu. Metodologi yang telah diselewengkan, yang disebut “preterisme,” bermula pada abad kedua dan ketiga dengan dua wakil utama dari metodologi palsu itu. Yang satu adalah Eusebius dari Kaisarea (260–339), dan Victorinus dari Pettau (meninggal sekitar 304). Kedua tokoh sejarah awal ini memajukan metodologi yang menyatakan bahwa kitab Wahyu telah digenapi pada masa Kekaisaran Romawi oleh tokoh-tokoh sejarah seperti kaisar yang termasyhur karena kebengisannya, Nero.</w:t>
      </w:r>
    </w:p>
    <w:p>
      <w:pPr>
        <w:pStyle w:val="ArticleBody"/>
        <w:jc w:val="left"/>
      </w:pPr>
      <w:r>
        <w:rPr>
          <w:rFonts w:ascii="Times New Roman" w:hAnsi="Times New Roman" w:eastAsia="Times New Roman" w:cs="Times New Roman"/>
        </w:rPr>
        <w:t>Pada abad kesembilan belas, John Darby (1800–1882) dari United Kingdom memperkenalkan satu lagi metodologi Iblis yang turut disisipkan ke dalam nota kaki Alkitab kuda Troya yang disebut Scofield Reference Bible, yang telah kita kenal pasti sebelum ini. “Dispensasionalisme” ialah suatu kerangka teologi yang membahagikan sejarah dan interaksi Tuhan dengan umat manusia kepada tempoh-tempoh yang berbeza, atau ‘dispensasi-dispensasi,’ yang di dalamnya Tuhan melaksanakan rancangan-Nya dengan cara-cara yang berlainan. Saya mencatatkan hal ini pada titik ini kerana inilah salah satu kepalsuan yang telah diperkenalkan ke dalam pergerakan Future for America oleh suara-suara dari kawasan yang sama tempat Darby telah menyebarkan idea-idea Iblisnya. Idea-idea Darby yang menyerang Future for America disertai oleh falsafah gerakan yang kononnya “woke” pada zaman moden, yang mempromosikan anarki yang sama seperti yang diwakili oleh Revolusi Perancis dan kebejatan yang sama seperti yang diwakili oleh Sodom dan Gomora.</w:t>
      </w:r>
    </w:p>
    <w:p>
      <w:pPr>
        <w:pStyle w:val="ArticleBody"/>
        <w:jc w:val="left"/>
      </w:pPr>
      <w:r>
        <w:rPr>
          <w:rFonts w:ascii="Myanmar Text" w:hAnsi="Myanmar Text" w:eastAsia="Myanmar Text" w:cs="Myanmar Text"/>
        </w:rPr>
        <w:t>ယနေ့ခေတ်</w:t>
      </w:r>
      <w:r>
        <w:rPr>
          <w:rFonts w:ascii="Times New Roman" w:hAnsi="Times New Roman" w:eastAsia="Times New Roman" w:cs="Times New Roman"/>
        </w:rPr>
        <w:t xml:space="preserve"> </w:t>
      </w:r>
      <w:r>
        <w:rPr>
          <w:rFonts w:ascii="Myanmar Text" w:hAnsi="Myanmar Text" w:eastAsia="Myanmar Text" w:cs="Myanmar Text"/>
        </w:rPr>
        <w:t>အဒ်ဗင်တစ်ဝါဒသစ်၏</w:t>
      </w:r>
      <w:r>
        <w:rPr>
          <w:rFonts w:ascii="Times New Roman" w:hAnsi="Times New Roman" w:eastAsia="Times New Roman" w:cs="Times New Roman"/>
        </w:rPr>
        <w:t xml:space="preserve"> </w:t>
      </w:r>
      <w:r>
        <w:rPr>
          <w:rFonts w:ascii="Myanmar Text" w:hAnsi="Myanmar Text" w:eastAsia="Myanmar Text" w:cs="Myanmar Text"/>
        </w:rPr>
        <w:t>ဘာသာရေးပညာရှင်များသည်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ခွဲခြမ်းစိတ်ဖြာရန်</w:t>
      </w:r>
      <w:r>
        <w:rPr>
          <w:rFonts w:ascii="Times New Roman" w:hAnsi="Times New Roman" w:eastAsia="Times New Roman" w:cs="Times New Roman"/>
        </w:rPr>
        <w:t xml:space="preserve"> </w:t>
      </w:r>
      <w:r>
        <w:rPr>
          <w:rFonts w:ascii="Myanmar Text" w:hAnsi="Myanmar Text" w:eastAsia="Myanmar Text" w:cs="Myanmar Text"/>
        </w:rPr>
        <w:t>သမ္မာကျမ်းစာအနက်ဖော်နည်း</w:t>
      </w:r>
      <w:r>
        <w:rPr>
          <w:rFonts w:ascii="Times New Roman" w:hAnsi="Times New Roman" w:eastAsia="Times New Roman" w:cs="Times New Roman"/>
        </w:rPr>
        <w:t xml:space="preserve"> </w:t>
      </w:r>
      <w:r>
        <w:rPr>
          <w:rFonts w:ascii="Myanmar Text" w:hAnsi="Myanmar Text" w:eastAsia="Myanmar Text" w:cs="Myanmar Text"/>
        </w:rPr>
        <w:t>နှစ်မျိုးတည်းဟူသော</w:t>
      </w:r>
      <w:r>
        <w:rPr>
          <w:rFonts w:ascii="Times New Roman" w:hAnsi="Times New Roman" w:eastAsia="Times New Roman" w:cs="Times New Roman"/>
        </w:rPr>
        <w:t xml:space="preserve"> </w:t>
      </w:r>
      <w:r>
        <w:rPr>
          <w:rFonts w:ascii="Myanmar Text" w:hAnsi="Myanmar Text" w:eastAsia="Myanmar Text" w:cs="Myanmar Text"/>
        </w:rPr>
        <w:t>စနစ်တစ်ရပ်ကို</w:t>
      </w:r>
      <w:r>
        <w:rPr>
          <w:rFonts w:ascii="Times New Roman" w:hAnsi="Times New Roman" w:eastAsia="Times New Roman" w:cs="Times New Roman"/>
        </w:rPr>
        <w:t xml:space="preserve"> </w:t>
      </w:r>
      <w:r>
        <w:rPr>
          <w:rFonts w:ascii="Myanmar Text" w:hAnsi="Myanmar Text" w:eastAsia="Myanmar Text" w:cs="Myanmar Text"/>
        </w:rPr>
        <w:t>အသုံးပြုလျက်၊</w:t>
      </w:r>
      <w:r>
        <w:rPr>
          <w:rFonts w:ascii="Times New Roman" w:hAnsi="Times New Roman" w:eastAsia="Times New Roman" w:cs="Times New Roman"/>
        </w:rPr>
        <w:t xml:space="preserve"> </w:t>
      </w:r>
      <w:r>
        <w:rPr>
          <w:rFonts w:ascii="Myanmar Text" w:hAnsi="Myanmar Text" w:eastAsia="Myanmar Text" w:cs="Myanmar Text"/>
        </w:rPr>
        <w:t>သမ္မာကျမ်းစာနှင့်</w:t>
      </w:r>
      <w:r>
        <w:rPr>
          <w:rFonts w:ascii="Times New Roman" w:hAnsi="Times New Roman" w:eastAsia="Times New Roman" w:cs="Times New Roman"/>
        </w:rPr>
        <w:t xml:space="preserve"> </w:t>
      </w:r>
      <w:r>
        <w:rPr>
          <w:rFonts w:ascii="Myanmar Text" w:hAnsi="Myanmar Text" w:eastAsia="Myanmar Text" w:cs="Myanmar Text"/>
        </w:rPr>
        <w:t>ပရောဖက်တော်၏</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နှစ်ဖက်စလုံး</w:t>
      </w:r>
      <w:r>
        <w:rPr>
          <w:rFonts w:ascii="Times New Roman" w:hAnsi="Times New Roman" w:eastAsia="Times New Roman" w:cs="Times New Roman"/>
        </w:rPr>
        <w:t xml:space="preserve"> </w:t>
      </w:r>
      <w:r>
        <w:rPr>
          <w:rFonts w:ascii="Myanmar Text" w:hAnsi="Myanmar Text" w:eastAsia="Myanmar Text" w:cs="Myanmar Text"/>
        </w:rPr>
        <w:t>ချိုးဖျက်၍</w:t>
      </w:r>
      <w:r>
        <w:rPr>
          <w:rFonts w:ascii="Times New Roman" w:hAnsi="Times New Roman" w:eastAsia="Times New Roman" w:cs="Times New Roman"/>
        </w:rPr>
        <w:t xml:space="preserve"> </w:t>
      </w:r>
      <w:r>
        <w:rPr>
          <w:rFonts w:ascii="Myanmar Text" w:hAnsi="Myanmar Text" w:eastAsia="Myanmar Text" w:cs="Myanmar Text"/>
        </w:rPr>
        <w:t>ငြင်းပယ်နိုင်ရန်</w:t>
      </w:r>
      <w:r>
        <w:rPr>
          <w:rFonts w:ascii="Times New Roman" w:hAnsi="Times New Roman" w:eastAsia="Times New Roman" w:cs="Times New Roman"/>
        </w:rPr>
        <w:t xml:space="preserve"> </w:t>
      </w:r>
      <w:r>
        <w:rPr>
          <w:rFonts w:ascii="Myanmar Text" w:hAnsi="Myanmar Text" w:eastAsia="Myanmar Text" w:cs="Myanmar Text"/>
        </w:rPr>
        <w:t>ကြိုးပမ်းကြသည်။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သမ္မာကျမ်းစာဘာသာစကားများ၌</w:t>
      </w:r>
      <w:r>
        <w:rPr>
          <w:rFonts w:ascii="Times New Roman" w:hAnsi="Times New Roman" w:eastAsia="Times New Roman" w:cs="Times New Roman"/>
        </w:rPr>
        <w:t xml:space="preserve"> </w:t>
      </w:r>
      <w:r>
        <w:rPr>
          <w:rFonts w:ascii="Myanmar Text" w:hAnsi="Myanmar Text" w:eastAsia="Myanmar Text" w:cs="Myanmar Text"/>
        </w:rPr>
        <w:t>ကျွမ်းကျင်သူများ</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သမ္မာကျမ်းစာသမိုင်း၌</w:t>
      </w:r>
      <w:r>
        <w:rPr>
          <w:rFonts w:ascii="Times New Roman" w:hAnsi="Times New Roman" w:eastAsia="Times New Roman" w:cs="Times New Roman"/>
        </w:rPr>
        <w:t xml:space="preserve"> </w:t>
      </w:r>
      <w:r>
        <w:rPr>
          <w:rFonts w:ascii="Myanmar Text" w:hAnsi="Myanmar Text" w:eastAsia="Myanmar Text" w:cs="Myanmar Text"/>
        </w:rPr>
        <w:t>ကျွမ်းကျင်သူများ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သတ်မှတ်ကြသည်။</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ယနေ့ခေတ်</w:t>
      </w:r>
      <w:r>
        <w:rPr>
          <w:rFonts w:ascii="Times New Roman" w:hAnsi="Times New Roman" w:eastAsia="Times New Roman" w:cs="Times New Roman"/>
        </w:rPr>
        <w:t xml:space="preserve"> </w:t>
      </w:r>
      <w:r>
        <w:rPr>
          <w:rFonts w:ascii="Myanmar Text" w:hAnsi="Myanmar Text" w:eastAsia="Myanmar Text" w:cs="Myanmar Text"/>
        </w:rPr>
        <w:t>အဒ်ဗင်တစ်ဝါဒ၏</w:t>
      </w:r>
      <w:r>
        <w:rPr>
          <w:rFonts w:ascii="Times New Roman" w:hAnsi="Times New Roman" w:eastAsia="Times New Roman" w:cs="Times New Roman"/>
        </w:rPr>
        <w:t xml:space="preserve"> </w:t>
      </w:r>
      <w:r>
        <w:rPr>
          <w:rFonts w:ascii="Myanmar Text" w:hAnsi="Myanmar Text" w:eastAsia="Myanmar Text" w:cs="Myanmar Text"/>
        </w:rPr>
        <w:t>ဘာသာရေးပညာရှင်များသည်</w:t>
      </w:r>
      <w:r>
        <w:rPr>
          <w:rFonts w:ascii="Times New Roman" w:hAnsi="Times New Roman" w:eastAsia="Times New Roman" w:cs="Times New Roman"/>
        </w:rPr>
        <w:t xml:space="preserve"> </w:t>
      </w:r>
      <w:r>
        <w:rPr>
          <w:rFonts w:ascii="Myanmar Text" w:hAnsi="Myanmar Text" w:eastAsia="Myanmar Text" w:cs="Myanmar Text"/>
        </w:rPr>
        <w:t>လောဒိကိယ</w:t>
      </w:r>
      <w:r>
        <w:rPr>
          <w:rFonts w:ascii="Times New Roman" w:hAnsi="Times New Roman" w:eastAsia="Times New Roman" w:cs="Times New Roman"/>
        </w:rPr>
        <w:t xml:space="preserve"> </w:t>
      </w:r>
      <w:r>
        <w:rPr>
          <w:rFonts w:ascii="Myanmar Text" w:hAnsi="Myanmar Text" w:eastAsia="Myanmar Text" w:cs="Myanmar Text"/>
        </w:rPr>
        <w:t>အဒ်ဗင်တစ်ဝါဒ၏</w:t>
      </w:r>
      <w:r>
        <w:rPr>
          <w:rFonts w:ascii="Times New Roman" w:hAnsi="Times New Roman" w:eastAsia="Times New Roman" w:cs="Times New Roman"/>
        </w:rPr>
        <w:t xml:space="preserve"> </w:t>
      </w:r>
      <w:r>
        <w:rPr>
          <w:rFonts w:ascii="Myanmar Text" w:hAnsi="Myanmar Text" w:eastAsia="Myanmar Text" w:cs="Myanmar Text"/>
        </w:rPr>
        <w:t>စိတ်အာရုံများကို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ကျဆုံးလူသား၏</w:t>
      </w:r>
      <w:r>
        <w:rPr>
          <w:rFonts w:ascii="Times New Roman" w:hAnsi="Times New Roman" w:eastAsia="Times New Roman" w:cs="Times New Roman"/>
        </w:rPr>
        <w:t xml:space="preserve"> </w:t>
      </w:r>
      <w:r>
        <w:rPr>
          <w:rFonts w:ascii="Myanmar Text" w:hAnsi="Myanmar Text" w:eastAsia="Myanmar Text" w:cs="Myanmar Text"/>
        </w:rPr>
        <w:t>သမိုင်းနားလည်မှုအပေါ်</w:t>
      </w:r>
      <w:r>
        <w:rPr>
          <w:rFonts w:ascii="Times New Roman" w:hAnsi="Times New Roman" w:eastAsia="Times New Roman" w:cs="Times New Roman"/>
        </w:rPr>
        <w:t xml:space="preserve"> </w:t>
      </w:r>
      <w:r>
        <w:rPr>
          <w:rFonts w:ascii="Myanmar Text" w:hAnsi="Myanmar Text" w:eastAsia="Myanmar Text" w:cs="Myanmar Text"/>
        </w:rPr>
        <w:t>အခြေခံ၍ဖြစ်စေ၊</w:t>
      </w:r>
      <w:r>
        <w:rPr>
          <w:rFonts w:ascii="Times New Roman" w:hAnsi="Times New Roman" w:eastAsia="Times New Roman" w:cs="Times New Roman"/>
        </w:rPr>
        <w:t xml:space="preserve"> </w:t>
      </w:r>
      <w:r>
        <w:rPr>
          <w:rFonts w:ascii="Myanmar Text" w:hAnsi="Myanmar Text" w:eastAsia="Myanmar Text" w:cs="Myanmar Text"/>
        </w:rPr>
        <w:t>ကျဆုံးလူသား၏</w:t>
      </w:r>
      <w:r>
        <w:rPr>
          <w:rFonts w:ascii="Times New Roman" w:hAnsi="Times New Roman" w:eastAsia="Times New Roman" w:cs="Times New Roman"/>
        </w:rPr>
        <w:t xml:space="preserve"> </w:t>
      </w:r>
      <w:r>
        <w:rPr>
          <w:rFonts w:ascii="Myanmar Text" w:hAnsi="Myanmar Text" w:eastAsia="Myanmar Text" w:cs="Myanmar Text"/>
        </w:rPr>
        <w:t>ဘာသာစကားနားလည်မှုအပေါ်</w:t>
      </w:r>
      <w:r>
        <w:rPr>
          <w:rFonts w:ascii="Times New Roman" w:hAnsi="Times New Roman" w:eastAsia="Times New Roman" w:cs="Times New Roman"/>
        </w:rPr>
        <w:t xml:space="preserve"> </w:t>
      </w:r>
      <w:r>
        <w:rPr>
          <w:rFonts w:ascii="Myanmar Text" w:hAnsi="Myanmar Text" w:eastAsia="Myanmar Text" w:cs="Myanmar Text"/>
        </w:rPr>
        <w:t>အခြေခံ၍ဖြစ်စေ</w:t>
      </w:r>
      <w:r>
        <w:rPr>
          <w:rFonts w:ascii="Times New Roman" w:hAnsi="Times New Roman" w:eastAsia="Times New Roman" w:cs="Times New Roman"/>
        </w:rPr>
        <w:t xml:space="preserve"> </w:t>
      </w:r>
      <w:r>
        <w:rPr>
          <w:rFonts w:ascii="Myanmar Text" w:hAnsi="Myanmar Text" w:eastAsia="Myanmar Text" w:cs="Myanmar Text"/>
        </w:rPr>
        <w:t>အနက်ဖော်ခြင်းအားဖြင့်</w:t>
      </w:r>
      <w:r>
        <w:rPr>
          <w:rFonts w:ascii="Times New Roman" w:hAnsi="Times New Roman" w:eastAsia="Times New Roman" w:cs="Times New Roman"/>
        </w:rPr>
        <w:t xml:space="preserve"> </w:t>
      </w:r>
      <w:r>
        <w:rPr>
          <w:rFonts w:ascii="Myanmar Text" w:hAnsi="Myanmar Text" w:eastAsia="Myanmar Text" w:cs="Myanmar Text"/>
        </w:rPr>
        <w:t>ထိန်းချုပ်လျက်ရှိကြသည်။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သင်ဖတ်ရှုနေသော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တိုက်ခိုက်ရန်</w:t>
      </w:r>
      <w:r>
        <w:rPr>
          <w:rFonts w:ascii="Times New Roman" w:hAnsi="Times New Roman" w:eastAsia="Times New Roman" w:cs="Times New Roman"/>
        </w:rPr>
        <w:t xml:space="preserve"> </w:t>
      </w:r>
      <w:r>
        <w:rPr>
          <w:rFonts w:ascii="Myanmar Text" w:hAnsi="Myanmar Text" w:eastAsia="Myanmar Text" w:cs="Myanmar Text"/>
        </w:rPr>
        <w:t>မကြာခဏ</w:t>
      </w:r>
      <w:r>
        <w:rPr>
          <w:rFonts w:ascii="Times New Roman" w:hAnsi="Times New Roman" w:eastAsia="Times New Roman" w:cs="Times New Roman"/>
        </w:rPr>
        <w:t xml:space="preserve"> </w:t>
      </w:r>
      <w:r>
        <w:rPr>
          <w:rFonts w:ascii="Myanmar Text" w:hAnsi="Myanmar Text" w:eastAsia="Myanmar Text" w:cs="Myanmar Text"/>
        </w:rPr>
        <w:t>အသုံးပြုခံရသော</w:t>
      </w:r>
      <w:r>
        <w:rPr>
          <w:rFonts w:ascii="Times New Roman" w:hAnsi="Times New Roman" w:eastAsia="Times New Roman" w:cs="Times New Roman"/>
        </w:rPr>
        <w:t xml:space="preserve"> </w:t>
      </w:r>
      <w:r>
        <w:rPr>
          <w:rFonts w:ascii="Myanmar Text" w:hAnsi="Myanmar Text" w:eastAsia="Myanmar Text" w:cs="Myanmar Text"/>
        </w:rPr>
        <w:t>ဤခေတ်သစ်မှားယွင်းမှု၏</w:t>
      </w:r>
      <w:r>
        <w:rPr>
          <w:rFonts w:ascii="Times New Roman" w:hAnsi="Times New Roman" w:eastAsia="Times New Roman" w:cs="Times New Roman"/>
        </w:rPr>
        <w:t xml:space="preserve"> </w:t>
      </w:r>
      <w:r>
        <w:rPr>
          <w:rFonts w:ascii="Myanmar Text" w:hAnsi="Myanmar Text" w:eastAsia="Myanmar Text" w:cs="Myanmar Text"/>
        </w:rPr>
        <w:t>ပေါ်လွင်ထင်ရှားခြင်းများကို</w:t>
      </w:r>
      <w:r>
        <w:rPr>
          <w:rFonts w:ascii="Times New Roman" w:hAnsi="Times New Roman" w:eastAsia="Times New Roman" w:cs="Times New Roman"/>
        </w:rPr>
        <w:t xml:space="preserve"> </w:t>
      </w:r>
      <w:r>
        <w:rPr>
          <w:rFonts w:ascii="Myanmar Text" w:hAnsi="Myanmar Text" w:eastAsia="Myanmar Text" w:cs="Myanmar Text"/>
        </w:rPr>
        <w:t>ပြင်သစ်တော်လှန်ရေး၏</w:t>
      </w:r>
      <w:r>
        <w:rPr>
          <w:rFonts w:ascii="Times New Roman" w:hAnsi="Times New Roman" w:eastAsia="Times New Roman" w:cs="Times New Roman"/>
        </w:rPr>
        <w:t xml:space="preserve"> </w:t>
      </w:r>
      <w:r>
        <w:rPr>
          <w:rFonts w:ascii="Myanmar Text" w:hAnsi="Myanmar Text" w:eastAsia="Myanmar Text" w:cs="Myanmar Text"/>
        </w:rPr>
        <w:t>သင်္ကေတဝိညာဉ်ကို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သုံးသပ်ရာတွင်</w:t>
      </w:r>
      <w:r>
        <w:rPr>
          <w:rFonts w:ascii="Times New Roman" w:hAnsi="Times New Roman" w:eastAsia="Times New Roman" w:cs="Times New Roman"/>
        </w:rPr>
        <w:t xml:space="preserve"> </w:t>
      </w:r>
      <w:r>
        <w:rPr>
          <w:rFonts w:ascii="Myanmar Text" w:hAnsi="Myanmar Text" w:eastAsia="Myanmar Text" w:cs="Myanmar Text"/>
        </w:rPr>
        <w:t>ဤဆောင်းပါးများအတွင်း</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ကိုင်တွယ်ဆွေးနွေးသွားမည်။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အသက်ရှင်လျက်ရှိ၏၊</w:t>
      </w:r>
      <w:r>
        <w:rPr>
          <w:rFonts w:ascii="Times New Roman" w:hAnsi="Times New Roman" w:eastAsia="Times New Roman" w:cs="Times New Roman"/>
        </w:rPr>
        <w:t xml:space="preserve"> </w:t>
      </w:r>
      <w:r>
        <w:rPr>
          <w:rFonts w:ascii="Myanmar Text" w:hAnsi="Myanmar Text" w:eastAsia="Myanmar Text" w:cs="Myanmar Text"/>
        </w:rPr>
        <w:t>မိမိအချိန်တိုလှပြီဖြစ်ကြောင်းကိုလည်း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စည်းကမ်းများထဲမှ</w:t>
      </w:r>
      <w:r>
        <w:rPr>
          <w:rFonts w:ascii="Times New Roman" w:hAnsi="Times New Roman" w:eastAsia="Times New Roman" w:cs="Times New Roman"/>
        </w:rPr>
        <w:t xml:space="preserve"> </w:t>
      </w:r>
      <w:r>
        <w:rPr>
          <w:rFonts w:ascii="Myanmar Text" w:hAnsi="Myanmar Text" w:eastAsia="Myanmar Text" w:cs="Myanmar Text"/>
        </w:rPr>
        <w:t>နောက်ဆုံးစည်းကမ်းဖြစ်သော</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အောက်ပါ</w:t>
      </w:r>
      <w:r>
        <w:rPr>
          <w:rFonts w:ascii="Times New Roman" w:hAnsi="Times New Roman" w:eastAsia="Times New Roman" w:cs="Times New Roman"/>
        </w:rPr>
        <w:t xml:space="preserve"> </w:t>
      </w:r>
      <w:r>
        <w:rPr>
          <w:rFonts w:ascii="Myanmar Text" w:hAnsi="Myanmar Text" w:eastAsia="Myanmar Text" w:cs="Myanmar Text"/>
        </w:rPr>
        <w:t>အပိုဒ်ဖြင့်</w:t>
      </w:r>
      <w:r>
        <w:rPr>
          <w:rFonts w:ascii="Times New Roman" w:hAnsi="Times New Roman" w:eastAsia="Times New Roman" w:cs="Times New Roman"/>
        </w:rPr>
        <w:t xml:space="preserve"> </w:t>
      </w:r>
      <w:r>
        <w:rPr>
          <w:rFonts w:ascii="Myanmar Text" w:hAnsi="Myanmar Text" w:eastAsia="Myanmar Text" w:cs="Myanmar Text"/>
        </w:rPr>
        <w:t>အဆုံးသတ်ထားသည်။</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神学</w:t>
      </w:r>
      <w:r>
        <w:rPr>
          <w:rFonts w:ascii="Times New Roman" w:hAnsi="Times New Roman" w:eastAsia="Times New Roman" w:cs="Times New Roman"/>
        </w:rPr>
        <w:t xml:space="preserve"> yang diajarkan di sekolah-sekolah kita senantiasa didasarkan pada suatu kredo sektarian. Mungkin hal itu dapat dipakai untuk mengambil suatu pikiran yang kosong lalu membubuhinya dengan corak semacam ini, tetapi pada akhirnya itu akan selalu bermuara pada kefanatikan. Suatu pikiran yang merdeka tidak akan pernah puas dengan pandangan-pandangan orang lain. Seandainya aku seorang pengajar kaum muda dalam bidang ketuhanan, mula-mula aku akan mempelajari kemampuan dan pikiran mereka. Jika keduanya baik, aku akan membuat mereka mempelajari Alkitab bagi diri mereka sendiri, lalu mengutus mereka keluar dalam kebebasan untuk berbuat baik bagi dunia. Tetapi jika mereka tidak mempunyai pikiran, aku akan mencapkan pada mereka pikiran orang lain, menuliskan ‘orang fanatik’ pada dahi mereka, dan mengutus mereka keluar sebagai budak!” William Miller, Miller’s Works, jilid 1, 24.</w:t>
      </w:r>
    </w:p>
    <w:p>
      <w:pPr>
        <w:pStyle w:val="ArticleBody"/>
        <w:jc w:val="left"/>
      </w:pPr>
      <w:r>
        <w:rPr>
          <w:rFonts w:ascii="Microsoft YaHei" w:hAnsi="Microsoft YaHei" w:eastAsia="Microsoft YaHei" w:cs="Microsoft YaHei"/>
        </w:rPr>
        <w:t>尾翰啓示者私居</w:t>
      </w:r>
      <w:r>
        <w:rPr>
          <w:rFonts w:ascii="MS Gothic" w:hAnsi="MS Gothic" w:eastAsia="MS Gothic" w:cs="MS Gothic"/>
        </w:rPr>
        <w:t>た</w:t>
      </w:r>
      <w:r>
        <w:rPr>
          <w:rFonts w:ascii="Microsoft YaHei" w:hAnsi="Microsoft YaHei" w:eastAsia="Microsoft YaHei" w:cs="Microsoft YaHei"/>
        </w:rPr>
        <w:t>直後乃</w:t>
      </w:r>
      <w:r>
        <w:rPr>
          <w:rFonts w:ascii="MS Gothic" w:hAnsi="MS Gothic" w:eastAsia="MS Gothic" w:cs="MS Gothic"/>
        </w:rPr>
        <w:t>び</w:t>
      </w:r>
      <w:r>
        <w:rPr>
          <w:rFonts w:ascii="Microsoft YaHei" w:hAnsi="Microsoft YaHei" w:eastAsia="Microsoft YaHei" w:cs="Microsoft YaHei"/>
        </w:rPr>
        <w:t>宗教改革</w:t>
      </w:r>
      <w:r>
        <w:rPr>
          <w:rFonts w:ascii="MS Gothic" w:hAnsi="MS Gothic" w:eastAsia="MS Gothic" w:cs="MS Gothic"/>
        </w:rPr>
        <w:t>の</w:t>
      </w:r>
      <w:r>
        <w:rPr>
          <w:rFonts w:ascii="Microsoft YaHei" w:hAnsi="Microsoft YaHei" w:eastAsia="Microsoft YaHei" w:cs="Microsoft YaHei"/>
        </w:rPr>
        <w:t>日々</w:t>
      </w:r>
      <w:r>
        <w:rPr>
          <w:rFonts w:ascii="MS Gothic" w:hAnsi="MS Gothic" w:eastAsia="MS Gothic" w:cs="MS Gothic"/>
        </w:rPr>
        <w:t>に</w:t>
      </w:r>
      <w:r>
        <w:rPr>
          <w:rFonts w:ascii="Microsoft YaHei" w:hAnsi="Microsoft YaHei" w:eastAsia="Microsoft YaHei" w:cs="Microsoft YaHei"/>
        </w:rPr>
        <w:t>於</w:t>
      </w:r>
      <w:r>
        <w:rPr>
          <w:rFonts w:ascii="MS Gothic" w:hAnsi="MS Gothic" w:eastAsia="MS Gothic" w:cs="MS Gothic"/>
        </w:rPr>
        <w:t>て</w:t>
      </w:r>
      <w:r>
        <w:rPr>
          <w:rFonts w:ascii="Microsoft YaHei" w:hAnsi="Microsoft YaHei" w:eastAsia="Microsoft YaHei" w:cs="Microsoft YaHei"/>
        </w:rPr>
        <w:t>、撒但</w:t>
      </w:r>
      <w:r>
        <w:rPr>
          <w:rFonts w:ascii="MS Gothic" w:hAnsi="MS Gothic" w:eastAsia="MS Gothic" w:cs="MS Gothic"/>
        </w:rPr>
        <w:t>は</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聖書的分析</w:t>
      </w:r>
      <w:r>
        <w:rPr>
          <w:rFonts w:ascii="MS Gothic" w:hAnsi="MS Gothic" w:eastAsia="MS Gothic" w:cs="MS Gothic"/>
        </w:rPr>
        <w:t>を</w:t>
      </w:r>
      <w:r>
        <w:rPr>
          <w:rFonts w:ascii="Microsoft YaHei" w:hAnsi="Microsoft YaHei" w:eastAsia="Microsoft YaHei" w:cs="Microsoft YaHei"/>
        </w:rPr>
        <w:t>混乱</w:t>
      </w:r>
      <w:r>
        <w:rPr>
          <w:rFonts w:ascii="MS Gothic" w:hAnsi="MS Gothic" w:eastAsia="MS Gothic" w:cs="MS Gothic"/>
        </w:rPr>
        <w:t>させ</w:t>
      </w:r>
      <w:r>
        <w:rPr>
          <w:rFonts w:ascii="Microsoft YaHei" w:hAnsi="Microsoft YaHei" w:eastAsia="Microsoft YaHei" w:cs="Microsoft YaHei"/>
        </w:rPr>
        <w:t>滅</w:t>
      </w:r>
      <w:r>
        <w:rPr>
          <w:rFonts w:ascii="MS Gothic" w:hAnsi="MS Gothic" w:eastAsia="MS Gothic" w:cs="MS Gothic"/>
        </w:rPr>
        <w:t>ぼすため</w:t>
      </w:r>
      <w:r>
        <w:rPr>
          <w:rFonts w:ascii="Microsoft YaHei" w:hAnsi="Microsoft YaHei" w:eastAsia="Microsoft YaHei" w:cs="Microsoft YaHei"/>
        </w:rPr>
        <w:t>、偽</w:t>
      </w:r>
      <w:r>
        <w:rPr>
          <w:rFonts w:ascii="MS Gothic" w:hAnsi="MS Gothic" w:eastAsia="MS Gothic" w:cs="MS Gothic"/>
        </w:rPr>
        <w:t>りの</w:t>
      </w:r>
      <w:r>
        <w:rPr>
          <w:rFonts w:ascii="Microsoft YaHei" w:hAnsi="Microsoft YaHei" w:eastAsia="Microsoft YaHei" w:cs="Microsoft YaHei"/>
        </w:rPr>
        <w:t>預言的方法論</w:t>
      </w:r>
      <w:r>
        <w:rPr>
          <w:rFonts w:ascii="MS Gothic" w:hAnsi="MS Gothic" w:eastAsia="MS Gothic" w:cs="MS Gothic"/>
        </w:rPr>
        <w:t>を</w:t>
      </w:r>
      <w:r>
        <w:rPr>
          <w:rFonts w:ascii="Microsoft YaHei" w:hAnsi="Microsoft YaHei" w:eastAsia="Microsoft YaHei" w:cs="Microsoft YaHei"/>
        </w:rPr>
        <w:t>活発</w:t>
      </w:r>
      <w:r>
        <w:rPr>
          <w:rFonts w:ascii="MS Gothic" w:hAnsi="MS Gothic" w:eastAsia="MS Gothic" w:cs="MS Gothic"/>
        </w:rPr>
        <w:t>に</w:t>
      </w:r>
      <w:r>
        <w:rPr>
          <w:rFonts w:ascii="Microsoft YaHei" w:hAnsi="Microsoft YaHei" w:eastAsia="Microsoft YaHei" w:cs="Microsoft YaHei"/>
        </w:rPr>
        <w:t>生</w:t>
      </w:r>
      <w:r>
        <w:rPr>
          <w:rFonts w:ascii="MS Gothic" w:hAnsi="MS Gothic" w:eastAsia="MS Gothic" w:cs="MS Gothic"/>
        </w:rPr>
        <w:t>み</w:t>
      </w:r>
      <w:r>
        <w:rPr>
          <w:rFonts w:ascii="Microsoft YaHei" w:hAnsi="Microsoft YaHei" w:eastAsia="Microsoft YaHei" w:cs="Microsoft YaHei"/>
        </w:rPr>
        <w:t>出</w:t>
      </w:r>
      <w:r>
        <w:rPr>
          <w:rFonts w:ascii="MS Gothic" w:hAnsi="MS Gothic" w:eastAsia="MS Gothic" w:cs="MS Gothic"/>
        </w:rPr>
        <w:t>して</w:t>
      </w:r>
      <w:r>
        <w:rPr>
          <w:rFonts w:ascii="Microsoft YaHei" w:hAnsi="Microsoft YaHei" w:eastAsia="Microsoft YaHei" w:cs="Microsoft YaHei"/>
        </w:rPr>
        <w:t>居</w:t>
      </w:r>
      <w:r>
        <w:rPr>
          <w:rFonts w:ascii="MS Gothic" w:hAnsi="MS Gothic" w:eastAsia="MS Gothic" w:cs="MS Gothic"/>
        </w:rPr>
        <w:t>た</w:t>
      </w:r>
      <w:r>
        <w:rPr>
          <w:rFonts w:ascii="Times New Roman" w:hAnsi="Times New Roman" w:eastAsia="Times New Roman" w:cs="Times New Roman"/>
        </w:rPr>
        <w:t>.</w:t>
      </w:r>
      <w:r>
        <w:rPr>
          <w:rFonts w:ascii="MS Gothic" w:hAnsi="MS Gothic" w:eastAsia="MS Gothic" w:cs="MS Gothic"/>
        </w:rPr>
        <w:t>これらの</w:t>
      </w:r>
      <w:r>
        <w:rPr>
          <w:rFonts w:ascii="Microsoft YaHei" w:hAnsi="Microsoft YaHei" w:eastAsia="Microsoft YaHei" w:cs="Microsoft YaHei"/>
        </w:rPr>
        <w:t>歴史的事実</w:t>
      </w:r>
      <w:r>
        <w:rPr>
          <w:rFonts w:ascii="MS Gothic" w:hAnsi="MS Gothic" w:eastAsia="MS Gothic" w:cs="MS Gothic"/>
        </w:rPr>
        <w:t>に</w:t>
      </w:r>
      <w:r>
        <w:rPr>
          <w:rFonts w:ascii="Microsoft YaHei" w:hAnsi="Microsoft YaHei" w:eastAsia="Microsoft YaHei" w:cs="Microsoft YaHei"/>
        </w:rPr>
        <w:t>於</w:t>
      </w:r>
      <w:r>
        <w:rPr>
          <w:rFonts w:ascii="MS Gothic" w:hAnsi="MS Gothic" w:eastAsia="MS Gothic" w:cs="MS Gothic"/>
        </w:rPr>
        <w:t>て</w:t>
      </w:r>
      <w:r>
        <w:rPr>
          <w:rFonts w:ascii="Microsoft YaHei" w:hAnsi="Microsoft YaHei" w:eastAsia="Microsoft YaHei" w:cs="Microsoft YaHei"/>
        </w:rPr>
        <w:t>時</w:t>
      </w:r>
      <w:r>
        <w:rPr>
          <w:rFonts w:ascii="MS Gothic" w:hAnsi="MS Gothic" w:eastAsia="MS Gothic" w:cs="MS Gothic"/>
        </w:rPr>
        <w:t>として</w:t>
      </w:r>
      <w:r>
        <w:rPr>
          <w:rFonts w:ascii="Microsoft YaHei" w:hAnsi="Microsoft YaHei" w:eastAsia="Microsoft YaHei" w:cs="Microsoft YaHei"/>
        </w:rPr>
        <w:t>見落</w:t>
      </w:r>
      <w:r>
        <w:rPr>
          <w:rFonts w:ascii="MS Gothic" w:hAnsi="MS Gothic" w:eastAsia="MS Gothic" w:cs="MS Gothic"/>
        </w:rPr>
        <w:t>とされるのは</w:t>
      </w:r>
      <w:r>
        <w:rPr>
          <w:rFonts w:ascii="Microsoft YaHei" w:hAnsi="Microsoft YaHei" w:eastAsia="Microsoft YaHei" w:cs="Microsoft YaHei"/>
        </w:rPr>
        <w:t>、</w:t>
      </w:r>
      <w:r>
        <w:rPr>
          <w:rFonts w:ascii="MS Gothic" w:hAnsi="MS Gothic" w:eastAsia="MS Gothic" w:cs="MS Gothic"/>
        </w:rPr>
        <w:t>これらすべての</w:t>
      </w:r>
      <w:r>
        <w:rPr>
          <w:rFonts w:ascii="Microsoft YaHei" w:hAnsi="Microsoft YaHei" w:eastAsia="Microsoft YaHei" w:cs="Microsoft YaHei"/>
        </w:rPr>
        <w:t>悪魔的</w:t>
      </w:r>
      <w:r>
        <w:rPr>
          <w:rFonts w:ascii="MS Gothic" w:hAnsi="MS Gothic" w:eastAsia="MS Gothic" w:cs="MS Gothic"/>
        </w:rPr>
        <w:t>な</w:t>
      </w:r>
      <w:r>
        <w:rPr>
          <w:rFonts w:ascii="Microsoft YaHei" w:hAnsi="Microsoft YaHei" w:eastAsia="Microsoft YaHei" w:cs="Microsoft YaHei"/>
        </w:rPr>
        <w:t>方法論</w:t>
      </w:r>
      <w:r>
        <w:rPr>
          <w:rFonts w:ascii="MS Gothic" w:hAnsi="MS Gothic" w:eastAsia="MS Gothic" w:cs="MS Gothic"/>
        </w:rPr>
        <w:t>が</w:t>
      </w:r>
      <w:r>
        <w:rPr>
          <w:rFonts w:ascii="Microsoft YaHei" w:hAnsi="Microsoft YaHei" w:eastAsia="Microsoft YaHei" w:cs="Microsoft YaHei"/>
        </w:rPr>
        <w:t>、啓示録以外</w:t>
      </w:r>
      <w:r>
        <w:rPr>
          <w:rFonts w:ascii="MS Gothic" w:hAnsi="MS Gothic" w:eastAsia="MS Gothic" w:cs="MS Gothic"/>
        </w:rPr>
        <w:t>の</w:t>
      </w:r>
      <w:r>
        <w:rPr>
          <w:rFonts w:ascii="Microsoft YaHei" w:hAnsi="Microsoft YaHei" w:eastAsia="Microsoft YaHei" w:cs="Microsoft YaHei"/>
        </w:rPr>
        <w:t>何</w:t>
      </w:r>
      <w:r>
        <w:rPr>
          <w:rFonts w:ascii="MS Gothic" w:hAnsi="MS Gothic" w:eastAsia="MS Gothic" w:cs="MS Gothic"/>
        </w:rPr>
        <w:t>ものでもない</w:t>
      </w:r>
      <w:r>
        <w:rPr>
          <w:rFonts w:ascii="Microsoft YaHei" w:hAnsi="Microsoft YaHei" w:eastAsia="Microsoft YaHei" w:cs="Microsoft YaHei"/>
        </w:rPr>
        <w:t>、</w:t>
      </w:r>
      <w:r>
        <w:rPr>
          <w:rFonts w:ascii="MS Gothic" w:hAnsi="MS Gothic" w:eastAsia="MS Gothic" w:cs="MS Gothic"/>
        </w:rPr>
        <w:t>まさにその</w:t>
      </w:r>
      <w:r>
        <w:rPr>
          <w:rFonts w:ascii="Microsoft YaHei" w:hAnsi="Microsoft YaHei" w:eastAsia="Microsoft YaHei" w:cs="Microsoft YaHei"/>
        </w:rPr>
        <w:t>書</w:t>
      </w:r>
      <w:r>
        <w:rPr>
          <w:rFonts w:ascii="MS Gothic" w:hAnsi="MS Gothic" w:eastAsia="MS Gothic" w:cs="MS Gothic"/>
        </w:rPr>
        <w:t>に</w:t>
      </w:r>
      <w:r>
        <w:rPr>
          <w:rFonts w:ascii="Microsoft YaHei" w:hAnsi="Microsoft YaHei" w:eastAsia="Microsoft YaHei" w:cs="Microsoft YaHei"/>
        </w:rPr>
        <w:t>直接向</w:t>
      </w:r>
      <w:r>
        <w:rPr>
          <w:rFonts w:ascii="MS Gothic" w:hAnsi="MS Gothic" w:eastAsia="MS Gothic" w:cs="MS Gothic"/>
        </w:rPr>
        <w:t>けられて</w:t>
      </w:r>
      <w:r>
        <w:rPr>
          <w:rFonts w:ascii="Microsoft YaHei" w:hAnsi="Microsoft YaHei" w:eastAsia="Microsoft YaHei" w:cs="Microsoft YaHei"/>
        </w:rPr>
        <w:t>居</w:t>
      </w:r>
      <w:r>
        <w:rPr>
          <w:rFonts w:ascii="MS Gothic" w:hAnsi="MS Gothic" w:eastAsia="MS Gothic" w:cs="MS Gothic"/>
        </w:rPr>
        <w:t>たことである</w:t>
      </w:r>
      <w:r>
        <w:rPr>
          <w:rFonts w:ascii="Times New Roman" w:hAnsi="Times New Roman" w:eastAsia="Times New Roman" w:cs="Times New Roman"/>
        </w:rPr>
        <w:t>.</w:t>
      </w:r>
      <w:r>
        <w:rPr>
          <w:rFonts w:ascii="MS Gothic" w:hAnsi="MS Gothic" w:eastAsia="MS Gothic" w:cs="MS Gothic"/>
        </w:rPr>
        <w:t>これら</w:t>
      </w:r>
      <w:r>
        <w:rPr>
          <w:rFonts w:ascii="Microsoft YaHei" w:hAnsi="Microsoft YaHei" w:eastAsia="Microsoft YaHei" w:cs="Microsoft YaHei"/>
        </w:rPr>
        <w:t>撒但的混乱</w:t>
      </w:r>
      <w:r>
        <w:rPr>
          <w:rFonts w:ascii="MS Gothic" w:hAnsi="MS Gothic" w:eastAsia="MS Gothic" w:cs="MS Gothic"/>
        </w:rPr>
        <w:t>の</w:t>
      </w:r>
      <w:r>
        <w:rPr>
          <w:rFonts w:ascii="Microsoft YaHei" w:hAnsi="Microsoft YaHei" w:eastAsia="Microsoft YaHei" w:cs="Microsoft YaHei"/>
        </w:rPr>
        <w:t>推進者</w:t>
      </w:r>
      <w:r>
        <w:rPr>
          <w:rFonts w:ascii="MS Gothic" w:hAnsi="MS Gothic" w:eastAsia="MS Gothic" w:cs="MS Gothic"/>
        </w:rPr>
        <w:t>たち</w:t>
      </w:r>
      <w:r>
        <w:rPr>
          <w:rFonts w:ascii="Microsoft YaHei" w:hAnsi="Microsoft YaHei" w:eastAsia="Microsoft YaHei" w:cs="Microsoft YaHei"/>
        </w:rPr>
        <w:t>各々</w:t>
      </w:r>
      <w:r>
        <w:rPr>
          <w:rFonts w:ascii="MS Gothic" w:hAnsi="MS Gothic" w:eastAsia="MS Gothic" w:cs="MS Gothic"/>
        </w:rPr>
        <w:t>の</w:t>
      </w:r>
      <w:r>
        <w:rPr>
          <w:rFonts w:ascii="Microsoft YaHei" w:hAnsi="Microsoft YaHei" w:eastAsia="Microsoft YaHei" w:cs="Microsoft YaHei"/>
        </w:rPr>
        <w:t>主題</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書</w:t>
      </w:r>
      <w:r>
        <w:rPr>
          <w:rFonts w:ascii="MS Gothic" w:hAnsi="MS Gothic" w:eastAsia="MS Gothic" w:cs="MS Gothic"/>
        </w:rPr>
        <w:t>であった</w:t>
      </w:r>
      <w:r>
        <w:rPr>
          <w:rFonts w:ascii="Times New Roman" w:hAnsi="Times New Roman" w:eastAsia="Times New Roman" w:cs="Times New Roman"/>
        </w:rPr>
        <w:t>.</w:t>
      </w:r>
      <w:r>
        <w:rPr>
          <w:rFonts w:ascii="Microsoft YaHei" w:hAnsi="Microsoft YaHei" w:eastAsia="Microsoft YaHei" w:cs="Microsoft YaHei"/>
        </w:rPr>
        <w:t>啓示録</w:t>
      </w:r>
      <w:r>
        <w:rPr>
          <w:rFonts w:ascii="MS Gothic" w:hAnsi="MS Gothic" w:eastAsia="MS Gothic" w:cs="MS Gothic"/>
        </w:rPr>
        <w:t>は</w:t>
      </w:r>
      <w:r>
        <w:rPr>
          <w:rFonts w:ascii="Microsoft YaHei" w:hAnsi="Microsoft YaHei" w:eastAsia="Microsoft YaHei" w:cs="Microsoft YaHei"/>
        </w:rPr>
        <w:t>常</w:t>
      </w:r>
      <w:r>
        <w:rPr>
          <w:rFonts w:ascii="MS Gothic" w:hAnsi="MS Gothic" w:eastAsia="MS Gothic" w:cs="MS Gothic"/>
        </w:rPr>
        <w:t>に</w:t>
      </w:r>
      <w:r>
        <w:rPr>
          <w:rFonts w:ascii="Microsoft YaHei" w:hAnsi="Microsoft YaHei" w:eastAsia="Microsoft YaHei" w:cs="Microsoft YaHei"/>
        </w:rPr>
        <w:t>撒但</w:t>
      </w:r>
      <w:r>
        <w:rPr>
          <w:rFonts w:ascii="MS Gothic" w:hAnsi="MS Gothic" w:eastAsia="MS Gothic" w:cs="MS Gothic"/>
        </w:rPr>
        <w:t>の</w:t>
      </w:r>
      <w:r>
        <w:rPr>
          <w:rFonts w:ascii="Microsoft YaHei" w:hAnsi="Microsoft YaHei" w:eastAsia="Microsoft YaHei" w:cs="Microsoft YaHei"/>
        </w:rPr>
        <w:t>標的</w:t>
      </w:r>
      <w:r>
        <w:rPr>
          <w:rFonts w:ascii="MS Gothic" w:hAnsi="MS Gothic" w:eastAsia="MS Gothic" w:cs="MS Gothic"/>
        </w:rPr>
        <w:t>であった</w:t>
      </w:r>
      <w:r>
        <w:rPr>
          <w:rFonts w:ascii="Times New Roman" w:hAnsi="Times New Roman" w:eastAsia="Times New Roman" w:cs="Times New Roman"/>
        </w:rPr>
        <w:t>.</w:t>
      </w:r>
      <w:r>
        <w:rPr>
          <w:rFonts w:ascii="Microsoft YaHei" w:hAnsi="Microsoft YaHei" w:eastAsia="Microsoft YaHei" w:cs="Microsoft YaHei"/>
        </w:rPr>
        <w:t>撒但</w:t>
      </w:r>
      <w:r>
        <w:rPr>
          <w:rFonts w:ascii="MS Gothic" w:hAnsi="MS Gothic" w:eastAsia="MS Gothic" w:cs="MS Gothic"/>
        </w:rPr>
        <w:t>は</w:t>
      </w:r>
      <w:r>
        <w:rPr>
          <w:rFonts w:ascii="Microsoft YaHei" w:hAnsi="Microsoft YaHei" w:eastAsia="Microsoft YaHei" w:cs="Microsoft YaHei"/>
        </w:rPr>
        <w:t>、自</w:t>
      </w:r>
      <w:r>
        <w:rPr>
          <w:rFonts w:ascii="MS Gothic" w:hAnsi="MS Gothic" w:eastAsia="MS Gothic" w:cs="MS Gothic"/>
        </w:rPr>
        <w:t>らが</w:t>
      </w:r>
      <w:r>
        <w:rPr>
          <w:rFonts w:ascii="Microsoft YaHei" w:hAnsi="Microsoft YaHei" w:eastAsia="Microsoft YaHei" w:cs="Microsoft YaHei"/>
        </w:rPr>
        <w:t>戦</w:t>
      </w:r>
      <w:r>
        <w:rPr>
          <w:rFonts w:ascii="MS Gothic" w:hAnsi="MS Gothic" w:eastAsia="MS Gothic" w:cs="MS Gothic"/>
        </w:rPr>
        <w:t>いを</w:t>
      </w:r>
      <w:r>
        <w:rPr>
          <w:rFonts w:ascii="Microsoft YaHei" w:hAnsi="Microsoft YaHei" w:eastAsia="Microsoft YaHei" w:cs="Microsoft YaHei"/>
        </w:rPr>
        <w:t>挑</w:t>
      </w:r>
      <w:r>
        <w:rPr>
          <w:rFonts w:ascii="MS Gothic" w:hAnsi="MS Gothic" w:eastAsia="MS Gothic" w:cs="MS Gothic"/>
        </w:rPr>
        <w:t>まねばならぬ</w:t>
      </w:r>
      <w:r>
        <w:rPr>
          <w:rFonts w:ascii="Microsoft YaHei" w:hAnsi="Microsoft YaHei" w:eastAsia="Microsoft YaHei" w:cs="Microsoft YaHei"/>
        </w:rPr>
        <w:t>書</w:t>
      </w:r>
      <w:r>
        <w:rPr>
          <w:rFonts w:ascii="MS Gothic" w:hAnsi="MS Gothic" w:eastAsia="MS Gothic" w:cs="MS Gothic"/>
        </w:rPr>
        <w:t>が</w:t>
      </w:r>
      <w:r>
        <w:rPr>
          <w:rFonts w:ascii="Microsoft YaHei" w:hAnsi="Microsoft YaHei" w:eastAsia="Microsoft YaHei" w:cs="Microsoft YaHei"/>
        </w:rPr>
        <w:t>啓示録</w:t>
      </w:r>
      <w:r>
        <w:rPr>
          <w:rFonts w:ascii="MS Gothic" w:hAnsi="MS Gothic" w:eastAsia="MS Gothic" w:cs="MS Gothic"/>
        </w:rPr>
        <w:t>であることを</w:t>
      </w:r>
      <w:r>
        <w:rPr>
          <w:rFonts w:ascii="Microsoft YaHei" w:hAnsi="Microsoft YaHei" w:eastAsia="Microsoft YaHei" w:cs="Microsoft YaHei"/>
        </w:rPr>
        <w:t>知</w:t>
      </w:r>
      <w:r>
        <w:rPr>
          <w:rFonts w:ascii="MS Gothic" w:hAnsi="MS Gothic" w:eastAsia="MS Gothic" w:cs="MS Gothic"/>
        </w:rPr>
        <w:t>って</w:t>
      </w:r>
      <w:r>
        <w:rPr>
          <w:rFonts w:ascii="Microsoft YaHei" w:hAnsi="Microsoft YaHei" w:eastAsia="Microsoft YaHei" w:cs="Microsoft YaHei"/>
        </w:rPr>
        <w:t>居</w:t>
      </w:r>
      <w:r>
        <w:rPr>
          <w:rFonts w:ascii="MS Gothic" w:hAnsi="MS Gothic" w:eastAsia="MS Gothic" w:cs="MS Gothic"/>
        </w:rPr>
        <w:t>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事実</w:t>
      </w:r>
      <w:r>
        <w:rPr>
          <w:rFonts w:ascii="MS Gothic" w:hAnsi="MS Gothic" w:eastAsia="MS Gothic" w:cs="MS Gothic"/>
        </w:rPr>
        <w:t>を</w:t>
      </w:r>
      <w:r>
        <w:rPr>
          <w:rFonts w:ascii="Microsoft YaHei" w:hAnsi="Microsoft YaHei" w:eastAsia="Microsoft YaHei" w:cs="Microsoft YaHei"/>
        </w:rPr>
        <w:t>認</w:t>
      </w:r>
      <w:r>
        <w:rPr>
          <w:rFonts w:ascii="MS Gothic" w:hAnsi="MS Gothic" w:eastAsia="MS Gothic" w:cs="MS Gothic"/>
        </w:rPr>
        <w:t>める</w:t>
      </w:r>
      <w:r>
        <w:rPr>
          <w:rFonts w:ascii="Microsoft YaHei" w:hAnsi="Microsoft YaHei" w:eastAsia="Microsoft YaHei" w:cs="Microsoft YaHei"/>
        </w:rPr>
        <w:t>時、我々</w:t>
      </w:r>
      <w:r>
        <w:rPr>
          <w:rFonts w:ascii="MS Gothic" w:hAnsi="MS Gothic" w:eastAsia="MS Gothic" w:cs="MS Gothic"/>
        </w:rPr>
        <w:t>はさらに</w:t>
      </w:r>
      <w:r>
        <w:rPr>
          <w:rFonts w:ascii="Microsoft YaHei" w:hAnsi="Microsoft YaHei" w:eastAsia="Microsoft YaHei" w:cs="Microsoft YaHei"/>
        </w:rPr>
        <w:t>別</w:t>
      </w:r>
      <w:r>
        <w:rPr>
          <w:rFonts w:ascii="MS Gothic" w:hAnsi="MS Gothic" w:eastAsia="MS Gothic" w:cs="MS Gothic"/>
        </w:rPr>
        <w:t>の</w:t>
      </w:r>
      <w:r>
        <w:rPr>
          <w:rFonts w:ascii="Microsoft YaHei" w:hAnsi="Microsoft YaHei" w:eastAsia="Microsoft YaHei" w:cs="Microsoft YaHei"/>
        </w:rPr>
        <w:t>、</w:t>
      </w:r>
      <w:r>
        <w:rPr>
          <w:rFonts w:ascii="MS Gothic" w:hAnsi="MS Gothic" w:eastAsia="MS Gothic" w:cs="MS Gothic"/>
        </w:rPr>
        <w:t>なお</w:t>
      </w:r>
      <w:r>
        <w:rPr>
          <w:rFonts w:ascii="Microsoft YaHei" w:hAnsi="Microsoft YaHei" w:eastAsia="Microsoft YaHei" w:cs="Microsoft YaHei"/>
        </w:rPr>
        <w:t>目</w:t>
      </w:r>
      <w:r>
        <w:rPr>
          <w:rFonts w:ascii="MS Gothic" w:hAnsi="MS Gothic" w:eastAsia="MS Gothic" w:cs="MS Gothic"/>
        </w:rPr>
        <w:t>に</w:t>
      </w:r>
      <w:r>
        <w:rPr>
          <w:rFonts w:ascii="Microsoft YaHei" w:hAnsi="Microsoft YaHei" w:eastAsia="Microsoft YaHei" w:cs="Microsoft YaHei"/>
        </w:rPr>
        <w:t>見</w:t>
      </w:r>
      <w:r>
        <w:rPr>
          <w:rFonts w:ascii="MS Gothic" w:hAnsi="MS Gothic" w:eastAsia="MS Gothic" w:cs="MS Gothic"/>
        </w:rPr>
        <w:t>えぬ</w:t>
      </w:r>
      <w:r>
        <w:rPr>
          <w:rFonts w:ascii="Microsoft YaHei" w:hAnsi="Microsoft YaHei" w:eastAsia="Microsoft YaHei" w:cs="Microsoft YaHei"/>
        </w:rPr>
        <w:t>現実</w:t>
      </w:r>
      <w:r>
        <w:rPr>
          <w:rFonts w:ascii="MS Gothic" w:hAnsi="MS Gothic" w:eastAsia="MS Gothic" w:cs="MS Gothic"/>
        </w:rPr>
        <w:t>を</w:t>
      </w:r>
      <w:r>
        <w:rPr>
          <w:rFonts w:ascii="Microsoft YaHei" w:hAnsi="Microsoft YaHei" w:eastAsia="Microsoft YaHei" w:cs="Microsoft YaHei"/>
        </w:rPr>
        <w:t>認</w:t>
      </w:r>
      <w:r>
        <w:rPr>
          <w:rFonts w:ascii="MS Gothic" w:hAnsi="MS Gothic" w:eastAsia="MS Gothic" w:cs="MS Gothic"/>
        </w:rPr>
        <w:t>め</w:t>
      </w:r>
      <w:r>
        <w:rPr>
          <w:rFonts w:ascii="Microsoft YaHei" w:hAnsi="Microsoft YaHei" w:eastAsia="Microsoft YaHei" w:cs="Microsoft YaHei"/>
        </w:rPr>
        <w:t>得</w:t>
      </w:r>
      <w:r>
        <w:rPr>
          <w:rFonts w:ascii="MS Gothic" w:hAnsi="MS Gothic" w:eastAsia="MS Gothic" w:cs="MS Gothic"/>
        </w:rPr>
        <w:t>るのであり</w:t>
      </w:r>
      <w:r>
        <w:rPr>
          <w:rFonts w:ascii="Microsoft YaHei" w:hAnsi="Microsoft YaHei" w:eastAsia="Microsoft YaHei" w:cs="Microsoft YaHei"/>
        </w:rPr>
        <w:t>、</w:t>
      </w:r>
      <w:r>
        <w:rPr>
          <w:rFonts w:ascii="MS Gothic" w:hAnsi="MS Gothic" w:eastAsia="MS Gothic" w:cs="MS Gothic"/>
        </w:rPr>
        <w:t>それはもう</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重要</w:t>
      </w:r>
      <w:r>
        <w:rPr>
          <w:rFonts w:ascii="MS Gothic" w:hAnsi="MS Gothic" w:eastAsia="MS Gothic" w:cs="MS Gothic"/>
        </w:rPr>
        <w:t>な</w:t>
      </w:r>
      <w:r>
        <w:rPr>
          <w:rFonts w:ascii="Microsoft YaHei" w:hAnsi="Microsoft YaHei" w:eastAsia="Microsoft YaHei" w:cs="Microsoft YaHei"/>
        </w:rPr>
        <w:t>真理</w:t>
      </w:r>
      <w:r>
        <w:rPr>
          <w:rFonts w:ascii="MS Gothic" w:hAnsi="MS Gothic" w:eastAsia="MS Gothic" w:cs="MS Gothic"/>
        </w:rPr>
        <w:t>によって</w:t>
      </w:r>
      <w:r>
        <w:rPr>
          <w:rFonts w:ascii="Microsoft YaHei" w:hAnsi="Microsoft YaHei" w:eastAsia="Microsoft YaHei" w:cs="Microsoft YaHei"/>
        </w:rPr>
        <w:t>覆</w:t>
      </w:r>
      <w:r>
        <w:rPr>
          <w:rFonts w:ascii="MS Gothic" w:hAnsi="MS Gothic" w:eastAsia="MS Gothic" w:cs="MS Gothic"/>
        </w:rPr>
        <w:t>い</w:t>
      </w:r>
      <w:r>
        <w:rPr>
          <w:rFonts w:ascii="Microsoft YaHei" w:hAnsi="Microsoft YaHei" w:eastAsia="Microsoft YaHei" w:cs="Microsoft YaHei"/>
        </w:rPr>
        <w:t>隠</w:t>
      </w:r>
      <w:r>
        <w:rPr>
          <w:rFonts w:ascii="MS Gothic" w:hAnsi="MS Gothic" w:eastAsia="MS Gothic" w:cs="MS Gothic"/>
        </w:rPr>
        <w:t>されて</w:t>
      </w:r>
      <w:r>
        <w:rPr>
          <w:rFonts w:ascii="Microsoft YaHei" w:hAnsi="Microsoft YaHei" w:eastAsia="Microsoft YaHei" w:cs="Microsoft YaHei"/>
        </w:rPr>
        <w:t>居</w:t>
      </w:r>
      <w:r>
        <w:rPr>
          <w:rFonts w:ascii="MS Gothic" w:hAnsi="MS Gothic" w:eastAsia="MS Gothic" w:cs="MS Gothic"/>
        </w:rPr>
        <w:t>る</w:t>
      </w:r>
      <w:r>
        <w:rPr>
          <w:rFonts w:ascii="Times New Roman" w:hAnsi="Times New Roman" w:eastAsia="Times New Roman" w:cs="Times New Roman"/>
        </w:rPr>
        <w:t>.</w:t>
      </w:r>
    </w:p>
    <w:p>
      <w:pPr>
        <w:pStyle w:val="ArticleBody"/>
        <w:jc w:val="left"/>
      </w:pPr>
      <w:r>
        <w:rPr>
          <w:rFonts w:ascii="Myanmar Text" w:hAnsi="Myanmar Text" w:eastAsia="Myanmar Text" w:cs="Myanmar Text"/>
        </w:rPr>
        <w:t>ကက်သလစ်</w:t>
      </w:r>
      <w:r>
        <w:rPr>
          <w:rFonts w:ascii="Times New Roman" w:hAnsi="Times New Roman" w:eastAsia="Times New Roman" w:cs="Times New Roman"/>
        </w:rPr>
        <w:t xml:space="preserve"> </w:t>
      </w:r>
      <w:r>
        <w:rPr>
          <w:rFonts w:ascii="Myanmar Text" w:hAnsi="Myanmar Text" w:eastAsia="Myanmar Text" w:cs="Myanmar Text"/>
        </w:rPr>
        <w:t>ဘုန်းတော်ကြီးအဖွဲ့</w:t>
      </w:r>
      <w:r>
        <w:rPr>
          <w:rFonts w:ascii="Times New Roman" w:hAnsi="Times New Roman" w:eastAsia="Times New Roman" w:cs="Times New Roman"/>
        </w:rPr>
        <w:t xml:space="preserve"> Jesuits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နည်းလမ်းတရားသည်</w:t>
      </w:r>
      <w:r>
        <w:rPr>
          <w:rFonts w:ascii="Times New Roman" w:hAnsi="Times New Roman" w:eastAsia="Times New Roman" w:cs="Times New Roman"/>
        </w:rPr>
        <w:t xml:space="preserve"> </w:t>
      </w:r>
      <w:r>
        <w:rPr>
          <w:rFonts w:ascii="Myanmar Text" w:hAnsi="Myanmar Text" w:eastAsia="Myanmar Text" w:cs="Myanmar Text"/>
        </w:rPr>
        <w:t>ရောမအသင်းတော်၏</w:t>
      </w:r>
      <w:r>
        <w:rPr>
          <w:rFonts w:ascii="Times New Roman" w:hAnsi="Times New Roman" w:eastAsia="Times New Roman" w:cs="Times New Roman"/>
        </w:rPr>
        <w:t xml:space="preserve"> </w:t>
      </w:r>
      <w:r>
        <w:rPr>
          <w:rFonts w:ascii="Myanmar Text" w:hAnsi="Myanmar Text" w:eastAsia="Myanmar Text" w:cs="Myanmar Text"/>
        </w:rPr>
        <w:t>ပုပ်ရဟန်းမင်းကြီးသည်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အန္တိခရစ်ဖြစ်ကြောင်းကို</w:t>
      </w:r>
      <w:r>
        <w:rPr>
          <w:rFonts w:ascii="Times New Roman" w:hAnsi="Times New Roman" w:eastAsia="Times New Roman" w:cs="Times New Roman"/>
        </w:rPr>
        <w:t xml:space="preserve"> </w:t>
      </w:r>
      <w:r>
        <w:rPr>
          <w:rFonts w:ascii="Myanmar Text" w:hAnsi="Myanmar Text" w:eastAsia="Myanmar Text" w:cs="Myanmar Text"/>
        </w:rPr>
        <w:t>ပြတ်သားစွာ</w:t>
      </w:r>
      <w:r>
        <w:rPr>
          <w:rFonts w:ascii="Times New Roman" w:hAnsi="Times New Roman" w:eastAsia="Times New Roman" w:cs="Times New Roman"/>
        </w:rPr>
        <w:t xml:space="preserve"> </w:t>
      </w:r>
      <w:r>
        <w:rPr>
          <w:rFonts w:ascii="Myanmar Text" w:hAnsi="Myanmar Text" w:eastAsia="Myanmar Text" w:cs="Myanmar Text"/>
        </w:rPr>
        <w:t>နားလည်မိခြင်း</w:t>
      </w:r>
      <w:r>
        <w:rPr>
          <w:rFonts w:ascii="Times New Roman" w:hAnsi="Times New Roman" w:eastAsia="Times New Roman" w:cs="Times New Roman"/>
        </w:rPr>
        <w:t xml:space="preserve"> </w:t>
      </w:r>
      <w:r>
        <w:rPr>
          <w:rFonts w:ascii="Myanmar Text" w:hAnsi="Myanmar Text" w:eastAsia="Myanmar Text" w:cs="Myanmar Text"/>
        </w:rPr>
        <w:t>မဖြစ်စေရန်</w:t>
      </w:r>
      <w:r>
        <w:rPr>
          <w:rFonts w:ascii="Times New Roman" w:hAnsi="Times New Roman" w:eastAsia="Times New Roman" w:cs="Times New Roman"/>
        </w:rPr>
        <w:t xml:space="preserve"> </w:t>
      </w:r>
      <w:r>
        <w:rPr>
          <w:rFonts w:ascii="Myanmar Text" w:hAnsi="Myanmar Text" w:eastAsia="Myanmar Text" w:cs="Myanmar Text"/>
        </w:rPr>
        <w:t>ရည်ရွယ်ထားသောအရာဖြစ်သည်။</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ပြုပြင်ပြောင်းလဲရေးဆရာ</w:t>
      </w:r>
      <w:r>
        <w:rPr>
          <w:rFonts w:ascii="Times New Roman" w:hAnsi="Times New Roman" w:eastAsia="Times New Roman" w:cs="Times New Roman"/>
        </w:rPr>
        <w:t xml:space="preserve"> </w:t>
      </w:r>
      <w:r>
        <w:rPr>
          <w:rFonts w:ascii="Myanmar Text" w:hAnsi="Myanmar Text" w:eastAsia="Myanmar Text" w:cs="Myanmar Text"/>
        </w:rPr>
        <w:t>တစ်ဦးမကျန်</w:t>
      </w:r>
      <w:r>
        <w:rPr>
          <w:rFonts w:ascii="Times New Roman" w:hAnsi="Times New Roman" w:eastAsia="Times New Roman" w:cs="Times New Roman"/>
        </w:rPr>
        <w:t xml:space="preserve"> </w:t>
      </w:r>
      <w:r>
        <w:rPr>
          <w:rFonts w:ascii="Myanmar Text" w:hAnsi="Myanmar Text" w:eastAsia="Myanmar Text" w:cs="Myanmar Text"/>
        </w:rPr>
        <w:t>အားလုံးပင်</w:t>
      </w:r>
      <w:r>
        <w:rPr>
          <w:rFonts w:ascii="Times New Roman" w:hAnsi="Times New Roman" w:eastAsia="Times New Roman" w:cs="Times New Roman"/>
        </w:rPr>
        <w:t xml:space="preserve"> </w:t>
      </w:r>
      <w:r>
        <w:rPr>
          <w:rFonts w:ascii="Myanmar Text" w:hAnsi="Myanmar Text" w:eastAsia="Myanmar Text" w:cs="Myanmar Text"/>
        </w:rPr>
        <w:t>ဤအမှန်တရားကို</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အတည်ပြုဖော်ထုတ်လာကြသည်။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Ribera </w:t>
      </w:r>
      <w:r>
        <w:rPr>
          <w:rFonts w:ascii="Myanmar Text" w:hAnsi="Myanmar Text" w:eastAsia="Myanmar Text" w:cs="Myanmar Text"/>
        </w:rPr>
        <w:t>နှင့်</w:t>
      </w:r>
      <w:r>
        <w:rPr>
          <w:rFonts w:ascii="Times New Roman" w:hAnsi="Times New Roman" w:eastAsia="Times New Roman" w:cs="Times New Roman"/>
        </w:rPr>
        <w:t xml:space="preserve"> Louis de Alcazar </w:t>
      </w:r>
      <w:r>
        <w:rPr>
          <w:rFonts w:ascii="Myanmar Text" w:hAnsi="Myanmar Text" w:eastAsia="Myanmar Text" w:cs="Myanmar Text"/>
        </w:rPr>
        <w:t>ကဲ့သို့သော</w:t>
      </w:r>
      <w:r>
        <w:rPr>
          <w:rFonts w:ascii="Times New Roman" w:hAnsi="Times New Roman" w:eastAsia="Times New Roman" w:cs="Times New Roman"/>
        </w:rPr>
        <w:t xml:space="preserve"> </w:t>
      </w:r>
      <w:r>
        <w:rPr>
          <w:rFonts w:ascii="Myanmar Text" w:hAnsi="Myanmar Text" w:eastAsia="Myanmar Text" w:cs="Myanmar Text"/>
        </w:rPr>
        <w:t>ပုဂ္ဂိုလ်များ၏</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သမိုင်းကြောင်းကို</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လူသိရှင်ကြား</w:t>
      </w:r>
      <w:r>
        <w:rPr>
          <w:rFonts w:ascii="Times New Roman" w:hAnsi="Times New Roman" w:eastAsia="Times New Roman" w:cs="Times New Roman"/>
        </w:rPr>
        <w:t xml:space="preserve"> </w:t>
      </w:r>
      <w:r>
        <w:rPr>
          <w:rFonts w:ascii="Myanmar Text" w:hAnsi="Myanmar Text" w:eastAsia="Myanmar Text" w:cs="Myanmar Text"/>
        </w:rPr>
        <w:t>ဟောပြောချက်များနှင့်</w:t>
      </w:r>
      <w:r>
        <w:rPr>
          <w:rFonts w:ascii="Times New Roman" w:hAnsi="Times New Roman" w:eastAsia="Times New Roman" w:cs="Times New Roman"/>
        </w:rPr>
        <w:t xml:space="preserve"> </w:t>
      </w:r>
      <w:r>
        <w:rPr>
          <w:rFonts w:ascii="Myanmar Text" w:hAnsi="Myanmar Text" w:eastAsia="Myanmar Text" w:cs="Myanmar Text"/>
        </w:rPr>
        <w:t>စာပေထုတ်ဝေမှုများမှတဆင့်</w:t>
      </w:r>
      <w:r>
        <w:rPr>
          <w:rFonts w:ascii="Times New Roman" w:hAnsi="Times New Roman" w:eastAsia="Times New Roman" w:cs="Times New Roman"/>
        </w:rPr>
        <w:t xml:space="preserve"> </w:t>
      </w:r>
      <w:r>
        <w:rPr>
          <w:rFonts w:ascii="Myanmar Text" w:hAnsi="Myanmar Text" w:eastAsia="Myanmar Text" w:cs="Myanmar Text"/>
        </w:rPr>
        <w:t>တင်ပြခဲ့ကြသောအခါ၊</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Ribera </w:t>
      </w:r>
      <w:r>
        <w:rPr>
          <w:rFonts w:ascii="Myanmar Text" w:hAnsi="Myanmar Text" w:eastAsia="Myanmar Text" w:cs="Myanmar Text"/>
        </w:rPr>
        <w:t>နှင့်</w:t>
      </w:r>
      <w:r>
        <w:rPr>
          <w:rFonts w:ascii="Times New Roman" w:hAnsi="Times New Roman" w:eastAsia="Times New Roman" w:cs="Times New Roman"/>
        </w:rPr>
        <w:t xml:space="preserve"> Louis de Alcazar </w:t>
      </w:r>
      <w:r>
        <w:rPr>
          <w:rFonts w:ascii="Myanmar Text" w:hAnsi="Myanmar Text" w:eastAsia="Myanmar Text" w:cs="Myanmar Text"/>
        </w:rPr>
        <w:t>ကဲ့သို့သော</w:t>
      </w:r>
      <w:r>
        <w:rPr>
          <w:rFonts w:ascii="Times New Roman" w:hAnsi="Times New Roman" w:eastAsia="Times New Roman" w:cs="Times New Roman"/>
        </w:rPr>
        <w:t xml:space="preserve"> </w:t>
      </w:r>
      <w:r>
        <w:rPr>
          <w:rFonts w:ascii="Myanmar Text" w:hAnsi="Myanmar Text" w:eastAsia="Myanmar Text" w:cs="Myanmar Text"/>
        </w:rPr>
        <w:t>ပုဂ္ဂိုလ်များ၏</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အပြစ်၏လူ</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နားလည်မှု</w:t>
      </w:r>
      <w:r>
        <w:rPr>
          <w:rFonts w:ascii="Times New Roman" w:hAnsi="Times New Roman" w:eastAsia="Times New Roman" w:cs="Times New Roman"/>
        </w:rPr>
        <w:t xml:space="preserve"> </w:t>
      </w:r>
      <w:r>
        <w:rPr>
          <w:rFonts w:ascii="Myanmar Text" w:hAnsi="Myanmar Text" w:eastAsia="Myanmar Text" w:cs="Myanmar Text"/>
        </w:rPr>
        <w:t>မရစေရန်</w:t>
      </w:r>
      <w:r>
        <w:rPr>
          <w:rFonts w:ascii="Times New Roman" w:hAnsi="Times New Roman" w:eastAsia="Times New Roman" w:cs="Times New Roman"/>
        </w:rPr>
        <w:t xml:space="preserve"> </w:t>
      </w:r>
      <w:r>
        <w:rPr>
          <w:rFonts w:ascii="Myanmar Text" w:hAnsi="Myanmar Text" w:eastAsia="Myanmar Text" w:cs="Myanmar Text"/>
        </w:rPr>
        <w:t>တားဆီးရန်</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ကြိုးပမ်းမှုများကို</w:t>
      </w:r>
      <w:r>
        <w:rPr>
          <w:rFonts w:ascii="Times New Roman" w:hAnsi="Times New Roman" w:eastAsia="Times New Roman" w:cs="Times New Roman"/>
        </w:rPr>
        <w:t xml:space="preserve"> </w:t>
      </w:r>
      <w:r>
        <w:rPr>
          <w:rFonts w:ascii="Myanmar Text" w:hAnsi="Myanmar Text" w:eastAsia="Myanmar Text" w:cs="Myanmar Text"/>
        </w:rPr>
        <w:t>ဖော်ပြသက်သေပြရန်</w:t>
      </w:r>
      <w:r>
        <w:rPr>
          <w:rFonts w:ascii="Times New Roman" w:hAnsi="Times New Roman" w:eastAsia="Times New Roman" w:cs="Times New Roman"/>
        </w:rPr>
        <w:t xml:space="preserve"> </w:t>
      </w:r>
      <w:r>
        <w:rPr>
          <w:rFonts w:ascii="Myanmar Text" w:hAnsi="Myanmar Text" w:eastAsia="Myanmar Text" w:cs="Myanmar Text"/>
        </w:rPr>
        <w:t>ရည်ရွယ်ချက်ဖြင့်</w:t>
      </w:r>
      <w:r>
        <w:rPr>
          <w:rFonts w:ascii="Times New Roman" w:hAnsi="Times New Roman" w:eastAsia="Times New Roman" w:cs="Times New Roman"/>
        </w:rPr>
        <w:t xml:space="preserve"> </w:t>
      </w:r>
      <w:r>
        <w:rPr>
          <w:rFonts w:ascii="Myanmar Text" w:hAnsi="Myanmar Text" w:eastAsia="Myanmar Text" w:cs="Myanmar Text"/>
        </w:rPr>
        <w:t>အသုံးပြုခဲ့ကြသည်။</w:t>
      </w:r>
      <w:r>
        <w:rPr>
          <w:rFonts w:ascii="Times New Roman" w:hAnsi="Times New Roman" w:eastAsia="Times New Roman" w:cs="Times New Roman"/>
        </w:rPr>
        <w:t xml:space="preserve"> </w:t>
      </w:r>
      <w:r>
        <w:rPr>
          <w:rFonts w:ascii="Myanmar Text" w:hAnsi="Myanmar Text" w:eastAsia="Myanmar Text" w:cs="Myanmar Text"/>
        </w:rPr>
        <w:t>ဤစာတန်ဆန်သော</w:t>
      </w:r>
      <w:r>
        <w:rPr>
          <w:rFonts w:ascii="Times New Roman" w:hAnsi="Times New Roman" w:eastAsia="Times New Roman" w:cs="Times New Roman"/>
        </w:rPr>
        <w:t xml:space="preserve"> </w:t>
      </w:r>
      <w:r>
        <w:rPr>
          <w:rFonts w:ascii="Myanmar Text" w:hAnsi="Myanmar Text" w:eastAsia="Myanmar Text" w:cs="Myanmar Text"/>
        </w:rPr>
        <w:t>နည်းလမ်းတရားများကို</w:t>
      </w:r>
      <w:r>
        <w:rPr>
          <w:rFonts w:ascii="Times New Roman" w:hAnsi="Times New Roman" w:eastAsia="Times New Roman" w:cs="Times New Roman"/>
        </w:rPr>
        <w:t xml:space="preserve"> </w:t>
      </w:r>
      <w:r>
        <w:rPr>
          <w:rFonts w:ascii="Myanmar Text" w:hAnsi="Myanmar Text" w:eastAsia="Myanmar Text" w:cs="Myanmar Text"/>
        </w:rPr>
        <w:t>မိတ်ဆက်သွင်းခဲ့သည့်</w:t>
      </w:r>
      <w:r>
        <w:rPr>
          <w:rFonts w:ascii="Times New Roman" w:hAnsi="Times New Roman" w:eastAsia="Times New Roman" w:cs="Times New Roman"/>
        </w:rPr>
        <w:t xml:space="preserve"> </w:t>
      </w:r>
      <w:r>
        <w:rPr>
          <w:rFonts w:ascii="Myanmar Text" w:hAnsi="Myanmar Text" w:eastAsia="Myanmar Text" w:cs="Myanmar Text"/>
        </w:rPr>
        <w:t>ရည်ရွယ်ချက်ကို</w:t>
      </w:r>
      <w:r>
        <w:rPr>
          <w:rFonts w:ascii="Times New Roman" w:hAnsi="Times New Roman" w:eastAsia="Times New Roman" w:cs="Times New Roman"/>
        </w:rPr>
        <w:t xml:space="preserve"> </w:t>
      </w:r>
      <w:r>
        <w:rPr>
          <w:rFonts w:ascii="Myanmar Text" w:hAnsi="Myanmar Text" w:eastAsia="Myanmar Text" w:cs="Myanmar Text"/>
        </w:rPr>
        <w:t>ဖော်ထုတ်ပြသသော</w:t>
      </w:r>
      <w:r>
        <w:rPr>
          <w:rFonts w:ascii="Times New Roman" w:hAnsi="Times New Roman" w:eastAsia="Times New Roman" w:cs="Times New Roman"/>
        </w:rPr>
        <w:t xml:space="preserve"> </w:t>
      </w:r>
      <w:r>
        <w:rPr>
          <w:rFonts w:ascii="Myanmar Text" w:hAnsi="Myanmar Text" w:eastAsia="Myanmar Text" w:cs="Myanmar Text"/>
        </w:rPr>
        <w:t>စာဖြင့်ဖြစ်စေ၊</w:t>
      </w:r>
      <w:r>
        <w:rPr>
          <w:rFonts w:ascii="Times New Roman" w:hAnsi="Times New Roman" w:eastAsia="Times New Roman" w:cs="Times New Roman"/>
        </w:rPr>
        <w:t xml:space="preserve"> </w:t>
      </w:r>
      <w:r>
        <w:rPr>
          <w:rFonts w:ascii="Myanmar Text" w:hAnsi="Myanmar Text" w:eastAsia="Myanmar Text" w:cs="Myanmar Text"/>
        </w:rPr>
        <w:t>နှုတ်ဖြင့်ဖြစ်စေ</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သက်သေခံချက်များသည်</w:t>
      </w:r>
      <w:r>
        <w:rPr>
          <w:rFonts w:ascii="Times New Roman" w:hAnsi="Times New Roman" w:eastAsia="Times New Roman" w:cs="Times New Roman"/>
        </w:rPr>
        <w:t xml:space="preserve"> </w:t>
      </w:r>
      <w:r>
        <w:rPr>
          <w:rFonts w:ascii="Myanmar Text" w:hAnsi="Myanmar Text" w:eastAsia="Myanmar Text" w:cs="Myanmar Text"/>
        </w:rPr>
        <w:t>၎င်းတို့ရောက်ရှိသည့်</w:t>
      </w:r>
      <w:r>
        <w:rPr>
          <w:rFonts w:ascii="Times New Roman" w:hAnsi="Times New Roman" w:eastAsia="Times New Roman" w:cs="Times New Roman"/>
        </w:rPr>
        <w:t xml:space="preserve"> </w:t>
      </w:r>
      <w:r>
        <w:rPr>
          <w:rFonts w:ascii="Myanmar Text" w:hAnsi="Myanmar Text" w:eastAsia="Myanmar Text" w:cs="Myanmar Text"/>
        </w:rPr>
        <w:t>အတိုင်းအတာအထိ</w:t>
      </w:r>
      <w:r>
        <w:rPr>
          <w:rFonts w:ascii="Times New Roman" w:hAnsi="Times New Roman" w:eastAsia="Times New Roman" w:cs="Times New Roman"/>
        </w:rPr>
        <w:t xml:space="preserve"> </w:t>
      </w:r>
      <w:r>
        <w:rPr>
          <w:rFonts w:ascii="Myanmar Text" w:hAnsi="Myanmar Text" w:eastAsia="Myanmar Text" w:cs="Myanmar Text"/>
        </w:rPr>
        <w:t>မှန်ကန်ကြသော်လည်း၊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ရောမမြို့၏</w:t>
      </w:r>
      <w:r>
        <w:rPr>
          <w:rFonts w:ascii="Times New Roman" w:hAnsi="Times New Roman" w:eastAsia="Times New Roman" w:cs="Times New Roman"/>
        </w:rPr>
        <w:t xml:space="preserve"> </w:t>
      </w:r>
      <w:r>
        <w:rPr>
          <w:rFonts w:ascii="Myanmar Text" w:hAnsi="Myanmar Text" w:eastAsia="Myanmar Text" w:cs="Myanmar Text"/>
        </w:rPr>
        <w:t>ပုပ်ရဟန်းမင်းကြီးကို</w:t>
      </w:r>
      <w:r>
        <w:rPr>
          <w:rFonts w:ascii="Times New Roman" w:hAnsi="Times New Roman" w:eastAsia="Times New Roman" w:cs="Times New Roman"/>
        </w:rPr>
        <w:t xml:space="preserve"> </w:t>
      </w:r>
      <w:r>
        <w:rPr>
          <w:rFonts w:ascii="Myanmar Text" w:hAnsi="Myanmar Text" w:eastAsia="Myanmar Text" w:cs="Myanmar Text"/>
        </w:rPr>
        <w:t>အန္တိခရစ်ဟု</w:t>
      </w:r>
      <w:r>
        <w:rPr>
          <w:rFonts w:ascii="Times New Roman" w:hAnsi="Times New Roman" w:eastAsia="Times New Roman" w:cs="Times New Roman"/>
        </w:rPr>
        <w:t xml:space="preserve"> </w:t>
      </w:r>
      <w:r>
        <w:rPr>
          <w:rFonts w:ascii="Myanmar Text" w:hAnsi="Myanmar Text" w:eastAsia="Myanmar Text" w:cs="Myanmar Text"/>
        </w:rPr>
        <w:t>သတ်မှတ်ဖော်ပြသော</w:t>
      </w:r>
      <w:r>
        <w:rPr>
          <w:rFonts w:ascii="Times New Roman" w:hAnsi="Times New Roman" w:eastAsia="Times New Roman" w:cs="Times New Roman"/>
        </w:rPr>
        <w:t xml:space="preserve"> </w:t>
      </w:r>
      <w:r>
        <w:rPr>
          <w:rFonts w:ascii="Myanmar Text" w:hAnsi="Myanmar Text" w:eastAsia="Myanmar Text" w:cs="Myanmar Text"/>
        </w:rPr>
        <w:t>သမ္မာကျမ်းစာဆိုင်ရာ</w:t>
      </w:r>
      <w:r>
        <w:rPr>
          <w:rFonts w:ascii="Times New Roman" w:hAnsi="Times New Roman" w:eastAsia="Times New Roman" w:cs="Times New Roman"/>
        </w:rPr>
        <w:t xml:space="preserve"> </w:t>
      </w:r>
      <w:r>
        <w:rPr>
          <w:rFonts w:ascii="Myanmar Text" w:hAnsi="Myanmar Text" w:eastAsia="Myanmar Text" w:cs="Myanmar Text"/>
        </w:rPr>
        <w:t>သက်သေများကိုသာ</w:t>
      </w:r>
      <w:r>
        <w:rPr>
          <w:rFonts w:ascii="Times New Roman" w:hAnsi="Times New Roman" w:eastAsia="Times New Roman" w:cs="Times New Roman"/>
        </w:rPr>
        <w:t xml:space="preserve"> </w:t>
      </w:r>
      <w:r>
        <w:rPr>
          <w:rFonts w:ascii="Myanmar Text" w:hAnsi="Myanmar Text" w:eastAsia="Myanmar Text" w:cs="Myanmar Text"/>
        </w:rPr>
        <w:t>ဖုံးကွယ်ရန်</w:t>
      </w:r>
      <w:r>
        <w:rPr>
          <w:rFonts w:ascii="Times New Roman" w:hAnsi="Times New Roman" w:eastAsia="Times New Roman" w:cs="Times New Roman"/>
        </w:rPr>
        <w:t xml:space="preserve"> </w:t>
      </w:r>
      <w:r>
        <w:rPr>
          <w:rFonts w:ascii="Myanmar Text" w:hAnsi="Myanmar Text" w:eastAsia="Myanmar Text" w:cs="Myanmar Text"/>
        </w:rPr>
        <w:t>ကြိုးစားခဲ့ခြင်းမဟုတ်ပေ။</w:t>
      </w:r>
    </w:p>
    <w:p>
      <w:pPr>
        <w:pStyle w:val="ArticleBody"/>
        <w:jc w:val="left"/>
      </w:pPr>
      <w:r>
        <w:rPr>
          <w:rFonts w:ascii="Times New Roman" w:hAnsi="Times New Roman" w:eastAsia="Times New Roman" w:cs="Times New Roman"/>
        </w:rPr>
        <w:t>Awon otito wa ninu iwe Ifihan ti a ti bo pelu idarudapo ti awon eto eke wonyi ti itumo Bibeli ti o wa ni ita koko-oro nipa eniyan ti nomba re je mefa, mefa, mefa ti mu wa. Okan ninu awon otito wonyi ni, nitootọ julọ, otito ti a n soju fun nigba ti a ba ye awon ijo meje ni idagbasoke kikun won. Awon otito wa ninu awon ijo meje ti n soro taara si itan ti o bere ni Ojo Kọkanla, Oṣu Kẹsan, ọdun 2001 ti o si pari ninu idaamu ofin ojo isimi. Satani ti n wa lati pa imole yi mo sinu iboji, o si se agbekale awon ilana Satani lati bo opolopo iyebiye otito ti o wa ninu iwe Ifihan mo, kii se idanimọ Pope ti Rome gege bi alatako-Kristi nikan.</w:t>
      </w:r>
    </w:p>
    <w:p>
      <w:pPr>
        <w:pStyle w:val="ArticleBody"/>
        <w:jc w:val="left"/>
      </w:pPr>
      <w:r>
        <w:rPr>
          <w:rFonts w:ascii="Times New Roman" w:hAnsi="Times New Roman" w:eastAsia="Times New Roman" w:cs="Times New Roman"/>
        </w:rPr>
        <w:t>Kelebihan “orang durhaka” itu dinyatakan pada tahun 538, orang-orang seperti Eusebius dan Victorinus telah menyerang kitab Wahyu dalam suatu upaya untuk mengaburkan kebangkitan kuasa kepausan. Kemudian dalam sejarah, Kristus menggenapi janji-Nya kepada Tiatira dan memunculkan bintang timur Reformasi (Wycliffe), dan sesudah itu Setan memunculkan dua tokoh sejarah yang terkemuka untuk memperjuangkan dan meneruskan pekerjaannya yang satanis. Peperangan panjang yang berlarut-larut mengenai perkembangan kebenaran, yang mencapai puncaknya ketika rahasia kitab Wahyu dibukakan meterainya, (tepat sebelum masa kasihan berakhir) mencakup terang dari ketujuh jemaat yang tidak pernah dikenali oleh Miller, demikian juga tidak oleh Sister White, tetapi dapat dengan mudah ditunjukkan bahwa baik Miller maupun Roh Nubuat menopang terang baru itu, karena terang baru tidak pernah bertentangan dengan terang lama.</w:t>
      </w:r>
    </w:p>
    <w:p>
      <w:pPr>
        <w:pStyle w:val="ArticleScripture"/>
        <w:jc w:val="left"/>
      </w:pPr>
      <w:r>
        <w:rPr>
          <w:rFonts w:ascii="Times New Roman" w:hAnsi="Times New Roman" w:eastAsia="Times New Roman" w:cs="Times New Roman"/>
        </w:rPr>
        <w:t>“Emi o ha adi nokware sɛ yɛwɔ nokware no, na ɛsɛ sɛ yɛde pintinn kura gyinabea ahorow a wontumi nwosow no mu; nanso ɛnsɛ sɛ yɛde adwene a ɛyɛ suspekyi hwɛ hann foforo biara a Onyankopɔn betumi asoma, na yɛka sɛ, Nokwarem, yentumi nhu sɛ yehia hann biara bio sen nokware dada a yɛanya de besi nnɛ, na yɛatintim yɛn ho wɔ mu no. Bere a yɛkura saa gyinabea yi mu no, Adansefo Nokwafo no adansedi de n’animka fa yɛn nsɛm ho sɛ, ‘na wonnim sɛ woyɛ ohiani, ne mmɔbɔni, ne hiani, ne onifuraefo, ne ɔda hɔ adagya.’ Wɔn a wɔte nka sɛ wɔyɛ adefo, na wɔadɔɔso wɔ nneɛma mu, na wonhia hwee no, wɔwɔ onifurae tebea mu wɔ wɔn ankasa tebea pa ara a ɛda Onyankopɔn anim no ho, na wonnim.” Review and Herald, August 7, 1894.</w:t>
      </w:r>
    </w:p>
    <w:p>
      <w:pPr>
        <w:pStyle w:val="ArticleBody"/>
        <w:jc w:val="left"/>
      </w:pPr>
      <w:r>
        <w:rPr>
          <w:rFonts w:ascii="Times New Roman" w:hAnsi="Times New Roman" w:eastAsia="Times New Roman" w:cs="Times New Roman"/>
        </w:rPr>
        <w:t>Ujian utama bagi terang baharu ialah sama ada ia bercanggah dengan kebenaran yang telah ditegakkan, dan sama ada ia menegakkan kebenaran-kebenaran asas.</w:t>
      </w:r>
    </w:p>
    <w:p>
      <w:pPr>
        <w:pStyle w:val="ArticleScripture"/>
        <w:jc w:val="left"/>
      </w:pPr>
      <w:r>
        <w:rPr>
          <w:rFonts w:ascii="Times New Roman" w:hAnsi="Times New Roman" w:eastAsia="Times New Roman" w:cs="Times New Roman"/>
        </w:rPr>
        <w:t>“Apabila kuasa Allah memberikan kesaksian tentang apakah kebenaran itu, kebenaran itu harus tetap tegak untuk selama-lamanya sebagai kebenaran. Tidak boleh dipelihara anggapan-anggapan kemudian yang bertentangan dengan terang yang telah Allah berikan. Orang-orang akan bangkit dengan penafsiran-penafsiran Kitab Suci yang bagi mereka adalah kebenaran, tetapi yang bukan kebenaran. Kebenaran untuk masa ini telah Allah berikan kepada kita sebagai dasar bagi iman kita. Ia sendiri telah mengajarkan kepada kita apa itu kebenaran. Akan bangkit seseorang, lalu yang lain lagi, dengan terang baru yang bertentangan dengan terang yang telah Allah berikan di bawah penyataan Roh Kudus-Nya.” Selected Messages, buku 1, 162.</w:t>
      </w:r>
    </w:p>
    <w:p>
      <w:pPr>
        <w:pStyle w:val="ArticleBody"/>
        <w:jc w:val="left"/>
      </w:pPr>
      <w:r>
        <w:rPr>
          <w:rFonts w:ascii="Times New Roman" w:hAnsi="Times New Roman" w:eastAsia="Times New Roman" w:cs="Times New Roman"/>
        </w:rPr>
        <w:t>Satana telah menjadikan kitab Wahyu sebagai sasaran serangannya sejak Yohanes mencatat pekabaran yang terkandung di dalamnya. Yesus berkata:</w:t>
      </w:r>
    </w:p>
    <w:p>
      <w:pPr>
        <w:pStyle w:val="ArticleScripture"/>
        <w:jc w:val="left"/>
      </w:pPr>
      <w:r>
        <w:rPr>
          <w:rFonts w:ascii="Times New Roman" w:hAnsi="Times New Roman" w:eastAsia="Times New Roman" w:cs="Times New Roman"/>
        </w:rPr>
        <w:t>Tetapi berbahagialah matamu, kerana mata itu melihat; dan telingamu, kerana telinga itu mendengar. Kerana sesungguhnya Aku berkata kepadamu, bahawa banyak nabi dan orang benar telah ingin melihat perkara-perkara yang kamu lihat, tetapi tidak melihatnya; dan mendengar perkara-perkara yang kamu dengar, tetapi tidak mendengarnya. Matius 13:16, 17.</w:t>
      </w:r>
    </w:p>
    <w:p>
      <w:pPr>
        <w:pStyle w:val="ArticleBody"/>
        <w:jc w:val="left"/>
      </w:pPr>
      <w:r>
        <w:rPr>
          <w:rFonts w:ascii="Times New Roman" w:hAnsi="Times New Roman" w:eastAsia="Times New Roman" w:cs="Times New Roman"/>
        </w:rPr>
        <w:t>Berkat yang dikaitkan dengan melihat dan mendengar ialah berkat memahami mesej Wahyu Yesus Kristus. Apabila Yohanes mewakili mereka pada “hari-hari terakhir” yang melihat dan mendengar mesej itu, dia tersungkur untuk menyembah malaikat Jibril, yang segera memberitahu Yohanes supaya tidak berbuat demikian.</w:t>
      </w:r>
    </w:p>
    <w:p>
      <w:pPr>
        <w:pStyle w:val="ArticleScripture"/>
        <w:jc w:val="left"/>
      </w:pPr>
      <w:r>
        <w:rPr>
          <w:rFonts w:ascii="Times New Roman" w:hAnsi="Times New Roman" w:eastAsia="Times New Roman" w:cs="Times New Roman"/>
        </w:rPr>
        <w:t>Ndzi, Yohane, ndzi vone swilo leswi, ndzi tlhela ndzi swi twa. Kuteloko ndzi swi twile ni ku swi vona, ndzi khinsame ehansi ku gandzela emahlweni ka milenge ya ntsumi leyi ndzi kombiseke swilo leswi. Kutani yi ku eka mina, U nga endli sweswo; hikuva ndzi nandza-kuloni, ni wa vamakwenu vaprofeta, ni wa lava hlayisaka marito ya buku leyi: gandzela Xikwembu. Nhlavutelo 22:8, 9.</w:t>
      </w:r>
    </w:p>
    <w:p>
      <w:pPr>
        <w:pStyle w:val="ArticleBody"/>
        <w:jc w:val="left"/>
      </w:pPr>
      <w:r>
        <w:rPr>
          <w:rFonts w:ascii="Times New Roman" w:hAnsi="Times New Roman" w:eastAsia="Times New Roman" w:cs="Times New Roman"/>
        </w:rPr>
        <w:t>Gabriel dan Yohanes kedua-duanya ialah makhluk ciptaan, yang hanya patut menyembah Sang Pencipta. Banyak nabi dan orang benar, termasuk para malaikat, telah ingin “melihat” dan “mendengar” pekabaran Seruan Tengah Malam apabila ia diulangi pada akhir zaman.</w:t>
      </w:r>
    </w:p>
    <w:p>
      <w:pPr>
        <w:pStyle w:val="ArticleScripture"/>
        <w:jc w:val="left"/>
      </w:pPr>
      <w:r>
        <w:rPr>
          <w:rFonts w:ascii="Times New Roman" w:hAnsi="Times New Roman" w:eastAsia="Times New Roman" w:cs="Times New Roman"/>
        </w:rPr>
        <w:t>“Kristus abanena, ‘Odala ndi maso anu, chifukwa amaona; ndi makutu anu, chifukwa amamva. Pakuti ndithu ndinena kwa inu, Kuti aneneri ambiri ndi anthu olungama analakalaka kuona zinthu zimene inu mukuona, koma sanazione; ndi kumva zinthu zimene inu mukumva, koma sanazimve’ [Mateyu 13:16, 17]. Odala ndi maso amene anaona zinthu zimene zinaoneka mu 1843 ndi 1844.</w:t>
      </w:r>
    </w:p>
    <w:p>
      <w:pPr>
        <w:pStyle w:val="ArticleScripture"/>
        <w:jc w:val="left"/>
      </w:pPr>
      <w:r>
        <w:rPr>
          <w:rFonts w:ascii="Times New Roman" w:hAnsi="Times New Roman" w:eastAsia="Times New Roman" w:cs="Times New Roman"/>
        </w:rPr>
        <w:t>“Ang mensahe ay naibigay na. At hindi dapat magkaroon ng pagkaantala sa muling pagpapahayag ng mensahe, sapagkat ang mga tanda ng mga panahon ay natutupad; ang pangwakas na gawain ay dapat maganap. Isang dakilang gawain ang maisasagawa sa maikling panahon. Isang mensahe ang malapit nang ibigay sa takda ng Diyos na lalago tungo sa isang malakas na sigaw. Pagkatapos ay tatayo si Daniel sa kaniyang bahagi, upang ibigay ang kaniyang patotoo.” Manuscript Releases, tomo 21, 437.</w:t>
      </w:r>
    </w:p>
    <w:p>
      <w:pPr>
        <w:pStyle w:val="ArticleBody"/>
        <w:jc w:val="left"/>
      </w:pPr>
      <w:r>
        <w:rPr>
          <w:rFonts w:ascii="Times New Roman" w:hAnsi="Times New Roman" w:eastAsia="Times New Roman" w:cs="Times New Roman"/>
        </w:rPr>
        <w:t>Apa yang ingin dilihat oleh orang-orang benar (John) dan rekan-rekan sesama hamba mereka (para malaikat) ialah penggenapan terakhir dari Seruan Tengah Malam pada akhir Adventisme, ketika bumi akan diterangi oleh kemuliaan Allah. Manifestasi kuasa yang terakhir itu dalam hujan akhir diwujudkan oleh penyingkapan Wahyu Yesus Kristus.</w:t>
      </w:r>
    </w:p>
    <w:p>
      <w:pPr>
        <w:pStyle w:val="ArticleScripture"/>
        <w:jc w:val="left"/>
      </w:pPr>
      <w:r>
        <w:rPr>
          <w:rFonts w:ascii="Times New Roman" w:hAnsi="Times New Roman" w:eastAsia="Times New Roman" w:cs="Times New Roman"/>
        </w:rPr>
        <w:t>Mengenai keselamatan itulah para nabi telah menyelidiki dan menelusuri dengan sungguh-sungguh, yaitu mereka yang bernubuat tentang kasih karunia yang akan datang kepadamu; sambil menyelidiki waktu yang bagaimana dan keadaan yang bagaimana yang dinyatakan oleh Roh Kristus yang ada di dalam mereka, ketika Ia terlebih dahulu memberi kesaksian tentang penderitaan-penderitaan Kristus dan kemuliaan yang akan menyusul sesudahnya. Kepada mereka telah dinyatakan, bahwa bukan bagi diri mereka sendiri, melainkan bagi kita, mereka melayani perkara-perkara yang sekarang diberitakan kepadamu oleh mereka yang telah memberitakan Injil kepadamu dengan Roh Kudus yang diutus dari sorga; perkara-perkara yang ingin dilihat oleh malaikat-malaikat. Karena itu ikatlah pinggang pikiranmu, berjaga-jagalah, dan berharaplah sepenuhnya akan kasih karunia yang akan dianugerahkan kepadamu pada saat penyataan Yesus Kristus. 1 Petrus 1:10–13.</w:t>
      </w:r>
    </w:p>
    <w:p>
      <w:pPr>
        <w:pStyle w:val="ArticleBody"/>
        <w:jc w:val="left"/>
      </w:pPr>
      <w:r>
        <w:rPr>
          <w:rFonts w:ascii="Times New Roman" w:hAnsi="Times New Roman" w:eastAsia="Times New Roman" w:cs="Times New Roman"/>
        </w:rPr>
        <w:t>Baporofeta, banna ba ba siameng le baengele ba ne ba eletsa go tshela mo nakong e “bopelotlhomogi” kgotsa maatla a Modimo a tshololwang ka yone mo tiragatsong ya bofelo ya Sello sa Bosigogare. “Bopelotlhomogi” joo, jo e leng maatla a Modimo a popo, bo tlisiwa mo bathong fa Tshenolo ya Jesu Keresete e bulwa. Satane o itse gore tsela e maatla a Modimo a popo a fitlhelelwang ka yone mo bathong ba Gagwe e diragadiwa ka molaetsa o o bulwang mo bukeng ya Tshenolo, mme ka jalo e nnile maiteko a gagwe a magolo go tlhakatlhakanya, go gatelela le go fitlha lesedi le le mo bukeng ya Tshenolo. Lesedi leo ga se fela go itsisi tsotlhe ka ga monna wa boleo, gonne boammaaruri joo bo ne jwa kwalwa sentle ka botlalo ke Botokafatsi botlhe ba Baebele ba Boporotesetanta makgolo a dingwaga a a fetileng.</w:t>
      </w:r>
    </w:p>
    <w:p>
      <w:pPr>
        <w:pStyle w:val="ArticleScripture"/>
        <w:jc w:val="left"/>
      </w:pPr>
      <w:r>
        <w:rPr>
          <w:rFonts w:ascii="Times New Roman" w:hAnsi="Times New Roman" w:eastAsia="Times New Roman" w:cs="Times New Roman"/>
        </w:rPr>
        <w:t>Pada hari Tuhan aku dikuasai oleh Roh, lalu aku mendengar dari belakangku suatu suara yang nyaring, bagaikan bunyi sangkakala, yang berkata: Aku adalah Alfa dan Omega, Yang Awal dan Yang Akhir. Apa yang kaulihat, tuliskanlah dalam sebuah kitab dan kirimkanlah kepada ketujuh jemaat yang ada di Asia: kepada Efesus, dan kepada Smirna, dan kepada Pergamus, dan kepada Tiatira, dan kepada Sardis, dan kepada Filadelfia, dan kepada Laodikia. Lalu aku berpaling untuk melihat suara yang berbicara dengan aku itu. Dan setelah aku berpaling, aku melihat tujuh kaki dian emas; dan di tengah-tengah ketujuh kaki dian itu ada Seorang serupa Anak Manusia, berpakaian jubah yang panjangnya sampai ke kaki dan dadanya berikatkan ikat pinggang emas. Kepala-Nya dan rambut-Nya putih bagaikan bulu yang putih, seputih salju; dan mata-Nya bagaikan nyala api; dan kaki-Nya mengkilap bagaikan tembaga murni yang membara di dalam perapian; dan suara-Nya bagaikan deru air yang besar. Di tangan kanan-Nya Ia memegang tujuh bintang; dan dari mulut-Nya keluar sebilah pedang tajam bermata dua; dan wajah-Nya bagaikan matahari yang bersinar dalam kekuatannya. Ketika aku melihat Dia, tersungkurlah aku di depan kaki-Nya seperti orang mati. Lalu Ia meletakkan tangan kanan-Nya ke atasku, sambil berkata kepadaku: Jangan takut; Aku adalah Yang Awal dan Yang Akhir. Aku adalah Dia yang hidup. Aku telah mati, namun lihatlah, Aku hidup sampai selama-lamanya, Amin, dan Aku memegang kunci maut dan kerajaan maut. Karena itu tuliskanlah apa yang telah kaulihat, baik yang terjadi sekarang maupun yang akan terjadi sesudah ini. Wahyu 1:10–19.</w:t>
      </w:r>
    </w:p>
    <w:p>
      <w:pPr>
        <w:pStyle w:val="ArticleBody"/>
        <w:jc w:val="left"/>
      </w:pPr>
      <w:r>
        <w:rPr>
          <w:rFonts w:ascii="Times New Roman" w:hAnsi="Times New Roman" w:eastAsia="Times New Roman" w:cs="Times New Roman"/>
        </w:rPr>
        <w:t>Khatsiado ya Seventh-day Adventist i dzula yo tikedza maitele a “historicist”, vho limuwa uri zwivhidzo zwoṱhe zwa Nzumbululo ndima ya vhuvhili na ya vhuraru zwi dovha zwa vhonala kha tshivhidzo tsha vhufhelo. Zwiṱungufhadzaho ndi uri, mafheloni a miṅwaha ya bo-ḽa ya vhufumiṱhanu, Sathane o vha a tshi khou valela Adventism maṱo ayo kha ayo maitele a khethwa, tsireledzo ya hone, na mushumo wa u a shumisa sa tshipiḓa tsha ndeme tsha vhuḓifhinduleli havho sa “vhalindi vha ngoho khulwane dza vhuporofita.” Naho zwo ralo, naho ayo maitele o vha a tshi khou vheiwa thungo kha Adventism, ho vha hu tshi kha ḓi vha hone vhane vha shumisa ayo maitele a khethwa. Ri shumisa bugu, Story of the Seer of Patmos, sa ṱhanzi ya uri u shumisa zwivhidzo zwoṱhe kha ḓivhazwakale ya Laodikea ndi kushumisele kwa vhuporofita ku re mulayoni. Zwi tevhelaho ndi zwipiḓa zwo dzhiwaho kha iyo bugu zwine zwa sumbedza mbuno ine nda khou amba ngayo.</w:t>
      </w:r>
    </w:p>
    <w:p>
      <w:pPr>
        <w:pStyle w:val="ArticleScripture"/>
        <w:jc w:val="left"/>
      </w:pPr>
      <w:r>
        <w:rPr>
          <w:rFonts w:ascii="Times New Roman" w:hAnsi="Times New Roman" w:eastAsia="Times New Roman" w:cs="Times New Roman"/>
        </w:rPr>
        <w:t>“Perlu diingat bahawa, sebagaimana pengalaman Efesus, Smirna, dan Pergamus akan berulang dalam gereja yang terakhir sebelum kedatangan Kristus yang kedua kali, demikian juga sejarah Tiatira akan mempunyai padanannya dalam generasi yang terakhir.” Stephen N. Haskell, Story of the Seer of Patmos, 69.</w:t>
      </w:r>
    </w:p>
    <w:p>
      <w:pPr>
        <w:pStyle w:val="ArticleBody"/>
        <w:jc w:val="left"/>
      </w:pPr>
      <w:r>
        <w:rPr>
          <w:rFonts w:ascii="Times New Roman" w:hAnsi="Times New Roman" w:eastAsia="Times New Roman" w:cs="Times New Roman"/>
        </w:rPr>
        <w:t>Haskell dengan tepat menunjukkan bahwa pengalaman empat jemaat yang pertama diulangi, atau sebagaimana dikatakannya, “akan mempunyai padanannya dalam generasi yang terakhir.”</w:t>
      </w:r>
    </w:p>
    <w:p>
      <w:pPr>
        <w:pStyle w:val="ArticleScripture"/>
        <w:jc w:val="left"/>
      </w:pPr>
      <w:r>
        <w:rPr>
          <w:rFonts w:ascii="Times New Roman" w:hAnsi="Times New Roman" w:eastAsia="Times New Roman" w:cs="Times New Roman"/>
        </w:rPr>
        <w:t>“Ia menerapkan ujian itu, tetapi semuanya menunjuk ke hadapan kepada tahun 1843 sebagai masa ketika dunia harus menyambut Juruselamatnya. Keadaan umat pada kedatangan Kristus yang pertama kini terulang kembali.” Stephen N. Haskell, Story of the Seer of Patmos, 75.</w:t>
      </w:r>
    </w:p>
    <w:p>
      <w:pPr>
        <w:pStyle w:val="ArticleBody"/>
        <w:jc w:val="left"/>
      </w:pPr>
      <w:r>
        <w:rPr>
          <w:rFonts w:ascii="Times New Roman" w:hAnsi="Times New Roman" w:eastAsia="Times New Roman" w:cs="Times New Roman"/>
        </w:rPr>
        <w:t>Haskell sedang berbicara tentang William Miller yang mengenal pasti tahun 1843 sebagai Kedatangan Kedua Kristus, dan beliau menyatakan bahawa keadaan-keadaan pada kedatangan pertama telah berulang pada zaman golongan Millerite. Haskell adalah benar, dan Sister White menegaskan bahawa Miller sendiri dilambangkan oleh Yohanes Pembaptis.</w:t>
      </w:r>
    </w:p>
    <w:p>
      <w:pPr>
        <w:pStyle w:val="ArticleScripture"/>
        <w:jc w:val="left"/>
      </w:pPr>
      <w:r>
        <w:rPr>
          <w:rFonts w:ascii="Times New Roman" w:hAnsi="Times New Roman" w:eastAsia="Times New Roman" w:cs="Times New Roman"/>
        </w:rPr>
        <w:t>“</w:t>
      </w:r>
      <w:r>
        <w:rPr>
          <w:rFonts w:ascii="Nirmala UI" w:hAnsi="Nirmala UI" w:eastAsia="Nirmala UI" w:cs="Nirmala UI"/>
        </w:rPr>
        <w:t>ඉතින්</w:t>
      </w:r>
      <w:r>
        <w:rPr>
          <w:rFonts w:ascii="Times New Roman" w:hAnsi="Times New Roman" w:eastAsia="Times New Roman" w:cs="Times New Roman"/>
        </w:rPr>
        <w:t xml:space="preserve"> </w:t>
      </w:r>
      <w:r>
        <w:rPr>
          <w:rFonts w:ascii="Nirmala UI" w:hAnsi="Nirmala UI" w:eastAsia="Nirmala UI" w:cs="Nirmala UI"/>
        </w:rPr>
        <w:t>බප්තීස්මකාර</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යේසුස්ගේ</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පැමිණීමට</w:t>
      </w:r>
      <w:r>
        <w:rPr>
          <w:rFonts w:ascii="Times New Roman" w:hAnsi="Times New Roman" w:eastAsia="Times New Roman" w:cs="Times New Roman"/>
        </w:rPr>
        <w:t xml:space="preserve"> </w:t>
      </w:r>
      <w:r>
        <w:rPr>
          <w:rFonts w:ascii="Nirmala UI" w:hAnsi="Nirmala UI" w:eastAsia="Nirmala UI" w:cs="Nirmala UI"/>
        </w:rPr>
        <w:t>මාර්ගය</w:t>
      </w:r>
      <w:r>
        <w:rPr>
          <w:rFonts w:ascii="Times New Roman" w:hAnsi="Times New Roman" w:eastAsia="Times New Roman" w:cs="Times New Roman"/>
        </w:rPr>
        <w:t xml:space="preserve"> </w:t>
      </w:r>
      <w:r>
        <w:rPr>
          <w:rFonts w:ascii="Nirmala UI" w:hAnsi="Nirmala UI" w:eastAsia="Nirmala UI" w:cs="Nirmala UI"/>
        </w:rPr>
        <w:t>සූදානම්</w:t>
      </w:r>
      <w:r>
        <w:rPr>
          <w:rFonts w:ascii="Times New Roman" w:hAnsi="Times New Roman" w:eastAsia="Times New Roman" w:cs="Times New Roman"/>
        </w:rPr>
        <w:t xml:space="preserve"> </w:t>
      </w:r>
      <w:r>
        <w:rPr>
          <w:rFonts w:ascii="Nirmala UI" w:hAnsi="Nirmala UI" w:eastAsia="Nirmala UI" w:cs="Nirmala UI"/>
        </w:rPr>
        <w:t>කළාක්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විලියම්</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රයාගේ</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Early Writings, 229.</w:t>
      </w:r>
    </w:p>
    <w:p>
      <w:pPr>
        <w:pStyle w:val="ArticleBody"/>
        <w:jc w:val="left"/>
      </w:pPr>
      <w:r>
        <w:rPr>
          <w:rFonts w:ascii="Times New Roman" w:hAnsi="Times New Roman" w:eastAsia="Times New Roman" w:cs="Times New Roman"/>
        </w:rPr>
        <w:t>Haskel bahkan mengenal pasti bahawa sepanjang sejarah Pergamos, (gereja ketiga yang melambangkan kompromi agama Kristian dengan penyembahan berhala), sejarah Sardis, iaitu gereja kelima, telah diulangi.</w:t>
      </w:r>
    </w:p>
    <w:p>
      <w:pPr>
        <w:pStyle w:val="ArticleScripture"/>
        <w:jc w:val="left"/>
      </w:pPr>
      <w:r>
        <w:rPr>
          <w:rFonts w:ascii="Times New Roman" w:hAnsi="Times New Roman" w:eastAsia="Times New Roman" w:cs="Times New Roman"/>
        </w:rPr>
        <w:t>“Ku na nkarhi ematin’wini ya Pergamos, loko Vukriste byi ehleketa leswaku Vugandzeri bya Vupfukeri a byi file; kambe entiyisweni, vukhongeri lebyi a byi vonaka onge byi hluriwile, a byi hlurile. Vugandzeri bya Vupfukeri, byi khuvuriwile, byi nghene ekerekeni. Emasikwini ya Sardis matimu lawa ma tlhele ma phindha.” Stephen N. Haskell, Story of the Seer of Patmos, 75, 76.</w:t>
      </w:r>
    </w:p>
    <w:p>
      <w:pPr>
        <w:pStyle w:val="ArticleBody"/>
        <w:jc w:val="left"/>
      </w:pPr>
      <w:r>
        <w:rPr>
          <w:rFonts w:ascii="Times New Roman" w:hAnsi="Times New Roman" w:eastAsia="Times New Roman" w:cs="Times New Roman"/>
        </w:rPr>
        <w:t>Sardis e ne e le kereke ya Phetohelo e ileng ya tsoha mme ya ipelaetsa kgahlanong le bofokodi ba bo-Satane ba bopapa, empa pele mosebetsi wa yona o ka phethelwa, e ne e se e qadile ho kgutlela Roma. Ba ne ba nahana jwaloka kereke ya Pergamos hore bopapa bo shwele, empa bonneteng bo ne bo sa ntse bo phela. Haskell le yena o bontsha hore hodima kereke ya masalla ho phatsima “mahlaseli a bokelletsweng a mehla yohle e fetileng.”</w:t>
      </w:r>
    </w:p>
    <w:p>
      <w:pPr>
        <w:pStyle w:val="ArticleScripture"/>
        <w:jc w:val="left"/>
      </w:pPr>
      <w:r>
        <w:rPr>
          <w:rFonts w:ascii="Times New Roman" w:hAnsi="Times New Roman" w:eastAsia="Times New Roman" w:cs="Times New Roman"/>
        </w:rPr>
        <w:t>“Gereja yang terakhir ini—umat yang sisa,—disinari sinar-sinar yang terhimpun dari segala zaman yang lampau.” Stephen N. Haskell, *Story of the Seer of Patmos*, 69.</w:t>
      </w:r>
    </w:p>
    <w:p>
      <w:pPr>
        <w:pStyle w:val="ArticleBody"/>
        <w:jc w:val="left"/>
      </w:pPr>
      <w:r>
        <w:rPr>
          <w:rFonts w:ascii="Times New Roman" w:hAnsi="Times New Roman" w:eastAsia="Times New Roman" w:cs="Times New Roman"/>
        </w:rPr>
        <w:t>Ndzi nga ringanyeti leswaku Haskell a a lemukile leswaku matimu lama yaka emahlweni lama yimeriwaka hi tikereke ta nkombo, na wona ma hetisekile ematimini ya Israele wa khale; kambe kunene u tiyisisa ntiyiso wolowo loko a tsala leswaku “mimun’wana leyi hlengeletiweke ya tinguva hinkwato leti hundzeke” yi “voninga” ehenhla ka “kereke yo hetelela.” Israele wa khale u katsiwile eka “mimun’wana ya” “tinguva leti hundzeke.” Naswona, hambileswi a tiyisisaka milawu leyi lavekaka leswaku ku lemukisiwa vuyimeri bya tikereke ta nkombo ematimini ya Israele wa khale, a ndzi tiyiseki leswaku u byi lemukile hi ku enta ku yini ku yelana loku yimeriwaka hi swikombiso sweswo. Nakambe ndzi tiyisile leswaku a nga xi lemukanga xiyenge lexi nga xa nkoka swinene ngopfu xa matimu lama yimeriwaka hi tikereke ta nkombo, ku nga xiyenge lexi hi kongomaka eka xona.</w:t>
      </w:r>
    </w:p>
    <w:p>
      <w:pPr>
        <w:pStyle w:val="ArticleBody"/>
        <w:jc w:val="left"/>
      </w:pPr>
      <w:r>
        <w:rPr>
          <w:rFonts w:ascii="Times New Roman" w:hAnsi="Times New Roman" w:eastAsia="Times New Roman" w:cs="Times New Roman"/>
        </w:rPr>
        <w:t>Rende, ntangu yitâla mune yiuvu yetu yishìna.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ឡៅឌីសេ — លេខ​បី</dc:title>
  <dc:subject>Apa Aturan-aturannya?</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