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Memantapkan Penglihatan - Nombor Enam Belas</w:t>
      </w:r>
    </w:p>
    <w:p>
      <w:pPr>
        <w:pStyle w:val="ArticleSubtitle"/>
        <w:jc w:val="left"/>
      </w:pPr>
      <w:r>
        <w:rPr>
          <w:rFonts w:ascii="Arial" w:hAnsi="Arial" w:eastAsia="Arial" w:cs="Arial"/>
        </w:rPr>
        <w:t>Ujian Akhir: Memahami Simbolisme Roma dan Penerapan Tiga Lapis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ဤနောက်ဆုံးအငြင်းပွားမှု၌</w:t>
      </w:r>
      <w:r>
        <w:rPr>
          <w:rFonts w:ascii="Times New Roman" w:hAnsi="Times New Roman" w:eastAsia="Times New Roman" w:cs="Times New Roman"/>
        </w:rPr>
        <w:t xml:space="preserve"> </w:t>
      </w:r>
      <w:r>
        <w:rPr>
          <w:rFonts w:ascii="Myanmar Text" w:hAnsi="Myanmar Text" w:eastAsia="Myanmar Text" w:cs="Myanmar Text"/>
        </w:rPr>
        <w:t>ရောမ၏သင်္ကေတနှင့်ပတ်သက်၍</w:t>
      </w:r>
      <w:r>
        <w:rPr>
          <w:rFonts w:ascii="Times New Roman" w:hAnsi="Times New Roman" w:eastAsia="Times New Roman" w:cs="Times New Roman"/>
        </w:rPr>
        <w:t xml:space="preserve"> </w:t>
      </w:r>
      <w:r>
        <w:rPr>
          <w:rFonts w:ascii="Myanmar Text" w:hAnsi="Myanmar Text" w:eastAsia="Myanmar Text" w:cs="Myanmar Text"/>
        </w:rPr>
        <w:t>မှားယွင်းသောဘက်တွင်</w:t>
      </w:r>
      <w:r>
        <w:rPr>
          <w:rFonts w:ascii="Times New Roman" w:hAnsi="Times New Roman" w:eastAsia="Times New Roman" w:cs="Times New Roman"/>
        </w:rPr>
        <w:t xml:space="preserve"> </w:t>
      </w:r>
      <w:r>
        <w:rPr>
          <w:rFonts w:ascii="Myanmar Text" w:hAnsi="Myanmar Text" w:eastAsia="Myanmar Text" w:cs="Myanmar Text"/>
        </w:rPr>
        <w:t>ရပ်တည်လျက်၊</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သုံးဆအလျောက်</w:t>
      </w:r>
      <w:r>
        <w:rPr>
          <w:rFonts w:ascii="Times New Roman" w:hAnsi="Times New Roman" w:eastAsia="Times New Roman" w:cs="Times New Roman"/>
        </w:rPr>
        <w:t xml:space="preserve"> </w:t>
      </w:r>
      <w:r>
        <w:rPr>
          <w:rFonts w:ascii="Myanmar Text" w:hAnsi="Myanmar Text" w:eastAsia="Myanmar Text" w:cs="Myanmar Text"/>
        </w:rPr>
        <w:t>အသုံးချသည့်နည်းကို</w:t>
      </w:r>
      <w:r>
        <w:rPr>
          <w:rFonts w:ascii="Times New Roman" w:hAnsi="Times New Roman" w:eastAsia="Times New Roman" w:cs="Times New Roman"/>
        </w:rPr>
        <w:t xml:space="preserve"> </w:t>
      </w:r>
      <w:r>
        <w:rPr>
          <w:rFonts w:ascii="Myanmar Text" w:hAnsi="Myanmar Text" w:eastAsia="Myanmar Text" w:cs="Myanmar Text"/>
        </w:rPr>
        <w:t>ချို့ယွင်းစွာ</w:t>
      </w:r>
      <w:r>
        <w:rPr>
          <w:rFonts w:ascii="Times New Roman" w:hAnsi="Times New Roman" w:eastAsia="Times New Roman" w:cs="Times New Roman"/>
        </w:rPr>
        <w:t xml:space="preserve"> </w:t>
      </w:r>
      <w:r>
        <w:rPr>
          <w:rFonts w:ascii="Myanmar Text" w:hAnsi="Myanmar Text" w:eastAsia="Myanmar Text" w:cs="Myanmar Text"/>
        </w:rPr>
        <w:t>လက်ခံအမှီပြုကြသည်။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ရောမသုံးခုပြီးကို</w:t>
      </w:r>
      <w:r>
        <w:rPr>
          <w:rFonts w:ascii="Times New Roman" w:hAnsi="Times New Roman" w:eastAsia="Times New Roman" w:cs="Times New Roman"/>
        </w:rPr>
        <w:t xml:space="preserve"> 321 </w:t>
      </w:r>
      <w:r>
        <w:rPr>
          <w:rFonts w:ascii="Myanmar Text" w:hAnsi="Myanmar Text" w:eastAsia="Myanmar Text" w:cs="Myanmar Text"/>
        </w:rPr>
        <w:t>ခုနှစ်၊</w:t>
      </w:r>
      <w:r>
        <w:rPr>
          <w:rFonts w:ascii="Times New Roman" w:hAnsi="Times New Roman" w:eastAsia="Times New Roman" w:cs="Times New Roman"/>
        </w:rPr>
        <w:t xml:space="preserve"> 538 </w:t>
      </w:r>
      <w:r>
        <w:rPr>
          <w:rFonts w:ascii="Myanmar Text" w:hAnsi="Myanmar Text" w:eastAsia="Myanmar Text" w:cs="Myanmar Text"/>
        </w:rPr>
        <w:t>ခုနှစ်နှင့်</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ပေါ်ပေါက်လာမည့်</w:t>
      </w:r>
      <w:r>
        <w:rPr>
          <w:rFonts w:ascii="Times New Roman" w:hAnsi="Times New Roman" w:eastAsia="Times New Roman" w:cs="Times New Roman"/>
        </w:rPr>
        <w:t xml:space="preserve"> </w:t>
      </w:r>
      <w:r>
        <w:rPr>
          <w:rFonts w:ascii="Myanmar Text" w:hAnsi="Myanmar Text" w:eastAsia="Myanmar Text" w:cs="Myanmar Text"/>
        </w:rPr>
        <w:t>တနင်္ဂနွေနေ့ဥပဒေတို့</w:t>
      </w:r>
      <w:r>
        <w:rPr>
          <w:rFonts w:ascii="Times New Roman" w:hAnsi="Times New Roman" w:eastAsia="Times New Roman" w:cs="Times New Roman"/>
        </w:rPr>
        <w:t xml:space="preserve"> </w:t>
      </w:r>
      <w:r>
        <w:rPr>
          <w:rFonts w:ascii="Myanmar Text" w:hAnsi="Myanmar Text" w:eastAsia="Myanmar Text" w:cs="Myanmar Text"/>
        </w:rPr>
        <w:t>သုံးခုဖြင့်</w:t>
      </w:r>
      <w:r>
        <w:rPr>
          <w:rFonts w:ascii="Times New Roman" w:hAnsi="Times New Roman" w:eastAsia="Times New Roman" w:cs="Times New Roman"/>
        </w:rPr>
        <w:t xml:space="preserve"> </w:t>
      </w:r>
      <w:r>
        <w:rPr>
          <w:rFonts w:ascii="Myanmar Text" w:hAnsi="Myanmar Text" w:eastAsia="Myanmar Text" w:cs="Myanmar Text"/>
        </w:rPr>
        <w:t>သတ်မှတ်ထားသည်ဟု</w:t>
      </w:r>
      <w:r>
        <w:rPr>
          <w:rFonts w:ascii="Times New Roman" w:hAnsi="Times New Roman" w:eastAsia="Times New Roman" w:cs="Times New Roman"/>
        </w:rPr>
        <w:t xml:space="preserve"> </w:t>
      </w:r>
      <w:r>
        <w:rPr>
          <w:rFonts w:ascii="Myanmar Text" w:hAnsi="Myanmar Text" w:eastAsia="Myanmar Text" w:cs="Myanmar Text"/>
        </w:rPr>
        <w:t>ဆိုကြသောကြောင့်ဖြစ်သည်။</w:t>
      </w:r>
      <w:r>
        <w:rPr>
          <w:rFonts w:ascii="Times New Roman" w:hAnsi="Times New Roman" w:eastAsia="Times New Roman" w:cs="Times New Roman"/>
        </w:rPr>
        <w:t xml:space="preserve"> </w:t>
      </w:r>
      <w:r>
        <w:rPr>
          <w:rFonts w:ascii="Myanmar Text" w:hAnsi="Myanmar Text" w:eastAsia="Myanmar Text" w:cs="Myanmar Text"/>
        </w:rPr>
        <w:t>ထိုသို့ပြုရာတွင်</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မိမိတို့ရွေးချယ်ထားသော</w:t>
      </w:r>
      <w:r>
        <w:rPr>
          <w:rFonts w:ascii="Times New Roman" w:hAnsi="Times New Roman" w:eastAsia="Times New Roman" w:cs="Times New Roman"/>
        </w:rPr>
        <w:t xml:space="preserve"> </w:t>
      </w:r>
      <w:r>
        <w:rPr>
          <w:rFonts w:ascii="Myanmar Text" w:hAnsi="Myanmar Text" w:eastAsia="Myanmar Text" w:cs="Myanmar Text"/>
        </w:rPr>
        <w:t>စည်းမျဉ်းနှင့်</w:t>
      </w:r>
      <w:r>
        <w:rPr>
          <w:rFonts w:ascii="Times New Roman" w:hAnsi="Times New Roman" w:eastAsia="Times New Roman" w:cs="Times New Roman"/>
        </w:rPr>
        <w:t xml:space="preserve"> </w:t>
      </w:r>
      <w:r>
        <w:rPr>
          <w:rFonts w:ascii="Myanmar Text" w:hAnsi="Myanmar Text" w:eastAsia="Myanmar Text" w:cs="Myanmar Text"/>
        </w:rPr>
        <w:t>ပရောဖက်ဆိုင်ရာသမိုင်းအပေါ်</w:t>
      </w:r>
      <w:r>
        <w:rPr>
          <w:rFonts w:ascii="Times New Roman" w:hAnsi="Times New Roman" w:eastAsia="Times New Roman" w:cs="Times New Roman"/>
        </w:rPr>
        <w:t xml:space="preserve"> </w:t>
      </w:r>
      <w:r>
        <w:rPr>
          <w:rFonts w:ascii="Myanmar Text" w:hAnsi="Myanmar Text" w:eastAsia="Myanmar Text" w:cs="Myanmar Text"/>
        </w:rPr>
        <w:t>မှားယွင်းသောသဘောထားတစ်ရပ်ကို</w:t>
      </w:r>
      <w:r>
        <w:rPr>
          <w:rFonts w:ascii="Times New Roman" w:hAnsi="Times New Roman" w:eastAsia="Times New Roman" w:cs="Times New Roman"/>
        </w:rPr>
        <w:t xml:space="preserve"> </w:t>
      </w:r>
      <w:r>
        <w:rPr>
          <w:rFonts w:ascii="Myanmar Text" w:hAnsi="Myanmar Text" w:eastAsia="Myanmar Text" w:cs="Myanmar Text"/>
        </w:rPr>
        <w:t>တင်ဆောင်ကြသည်။</w:t>
      </w:r>
      <w:r>
        <w:rPr>
          <w:rFonts w:ascii="Times New Roman" w:hAnsi="Times New Roman" w:eastAsia="Times New Roman" w:cs="Times New Roman"/>
        </w:rPr>
        <w:t xml:space="preserve"> </w:t>
      </w:r>
      <w:r>
        <w:rPr>
          <w:rFonts w:ascii="Myanmar Text" w:hAnsi="Myanmar Text" w:eastAsia="Myanmar Text" w:cs="Myanmar Text"/>
        </w:rPr>
        <w:t>ယင်းသည်လည်း</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ပိုးကောင်လေးမျိုးနှင့်ဆိုင်သော</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ပြုခဲ့ကြသကဲ့သို့ပင်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ယောလကျမ်း</w:t>
      </w:r>
      <w:r>
        <w:rPr>
          <w:rFonts w:ascii="Times New Roman" w:hAnsi="Times New Roman" w:eastAsia="Times New Roman" w:cs="Times New Roman"/>
        </w:rPr>
        <w:t xml:space="preserve"> </w:t>
      </w:r>
      <w:r>
        <w:rPr>
          <w:rFonts w:ascii="Myanmar Text" w:hAnsi="Myanmar Text" w:eastAsia="Myanmar Text" w:cs="Myanmar Text"/>
        </w:rPr>
        <w:t>ပထမခြောက်ပိုဒ်တွင်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မျိုးဆက်လေးဆက်နှင့်</w:t>
      </w:r>
      <w:r>
        <w:rPr>
          <w:rFonts w:ascii="Times New Roman" w:hAnsi="Times New Roman" w:eastAsia="Times New Roman" w:cs="Times New Roman"/>
        </w:rPr>
        <w:t xml:space="preserve"> </w:t>
      </w:r>
      <w:r>
        <w:rPr>
          <w:rFonts w:ascii="Myanmar Text" w:hAnsi="Myanmar Text" w:eastAsia="Myanmar Text" w:cs="Myanmar Text"/>
        </w:rPr>
        <w:t>၎င်းနောက်လိုက်သော</w:t>
      </w:r>
      <w:r>
        <w:rPr>
          <w:rFonts w:ascii="Times New Roman" w:hAnsi="Times New Roman" w:eastAsia="Times New Roman" w:cs="Times New Roman"/>
        </w:rPr>
        <w:t xml:space="preserve"> </w:t>
      </w:r>
      <w:r>
        <w:rPr>
          <w:rFonts w:ascii="Myanmar Text" w:hAnsi="Myanmar Text" w:eastAsia="Myanmar Text" w:cs="Myanmar Text"/>
        </w:rPr>
        <w:t>ဖျက်ဆီးစားသောက်သည့်</w:t>
      </w:r>
      <w:r>
        <w:rPr>
          <w:rFonts w:ascii="Times New Roman" w:hAnsi="Times New Roman" w:eastAsia="Times New Roman" w:cs="Times New Roman"/>
        </w:rPr>
        <w:t xml:space="preserve"> </w:t>
      </w:r>
      <w:r>
        <w:rPr>
          <w:rFonts w:ascii="Myanmar Text" w:hAnsi="Myanmar Text" w:eastAsia="Myanmar Text" w:cs="Myanmar Text"/>
        </w:rPr>
        <w:t>ပိုးကောင်လေးမျိုးတို့သည်</w:t>
      </w:r>
      <w:r>
        <w:rPr>
          <w:rFonts w:ascii="Times New Roman" w:hAnsi="Times New Roman" w:eastAsia="Times New Roman" w:cs="Times New Roman"/>
        </w:rPr>
        <w:t xml:space="preserve"> </w:t>
      </w:r>
      <w:r>
        <w:rPr>
          <w:rFonts w:ascii="Myanmar Text" w:hAnsi="Myanmar Text" w:eastAsia="Myanmar Text" w:cs="Myanmar Text"/>
        </w:rPr>
        <w:t>ဘုရားသခင်၏လူမျိုးတော်သည်</w:t>
      </w:r>
      <w:r>
        <w:rPr>
          <w:rFonts w:ascii="Times New Roman" w:hAnsi="Times New Roman" w:eastAsia="Times New Roman" w:cs="Times New Roman"/>
        </w:rPr>
        <w:t xml:space="preserve"> </w:t>
      </w:r>
      <w:r>
        <w:rPr>
          <w:rFonts w:ascii="Myanmar Text" w:hAnsi="Myanmar Text" w:eastAsia="Myanmar Text" w:cs="Myanmar Text"/>
        </w:rPr>
        <w:t>မျိုးဆက်လေးဆက်တိုင်</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ဖျက်ဆီးလျော့နည်းသွားပုံကို</w:t>
      </w:r>
      <w:r>
        <w:rPr>
          <w:rFonts w:ascii="Times New Roman" w:hAnsi="Times New Roman" w:eastAsia="Times New Roman" w:cs="Times New Roman"/>
        </w:rPr>
        <w:t xml:space="preserve"> </w:t>
      </w:r>
      <w:r>
        <w:rPr>
          <w:rFonts w:ascii="Myanmar Text" w:hAnsi="Myanmar Text" w:eastAsia="Myanmar Text" w:cs="Myanmar Text"/>
        </w:rPr>
        <w:t>ရည်ညွှန်းကြပြီး၊</w:t>
      </w:r>
      <w:r>
        <w:rPr>
          <w:rFonts w:ascii="Times New Roman" w:hAnsi="Times New Roman" w:eastAsia="Times New Roman" w:cs="Times New Roman"/>
        </w:rPr>
        <w:t xml:space="preserve"> </w:t>
      </w:r>
      <w:r>
        <w:rPr>
          <w:rFonts w:ascii="Myanmar Text" w:hAnsi="Myanmar Text" w:eastAsia="Myanmar Text" w:cs="Myanmar Text"/>
        </w:rPr>
        <w:t>ထိုဖျက်ဆီးလျော့နည်းမှုသည်</w:t>
      </w:r>
      <w:r>
        <w:rPr>
          <w:rFonts w:ascii="Times New Roman" w:hAnsi="Times New Roman" w:eastAsia="Times New Roman" w:cs="Times New Roman"/>
        </w:rPr>
        <w:t xml:space="preserve"> Adventism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ရောမနှင့်</w:t>
      </w:r>
      <w:r>
        <w:rPr>
          <w:rFonts w:ascii="Times New Roman" w:hAnsi="Times New Roman" w:eastAsia="Times New Roman" w:cs="Times New Roman"/>
        </w:rPr>
        <w:t xml:space="preserve"> </w:t>
      </w:r>
      <w:r>
        <w:rPr>
          <w:rFonts w:ascii="Myanmar Text" w:hAnsi="Myanmar Text" w:eastAsia="Myanmar Text" w:cs="Myanmar Text"/>
        </w:rPr>
        <w:t>ဘာသာပျက်</w:t>
      </w:r>
      <w:r>
        <w:rPr>
          <w:rFonts w:ascii="Times New Roman" w:hAnsi="Times New Roman" w:eastAsia="Times New Roman" w:cs="Times New Roman"/>
        </w:rPr>
        <w:t xml:space="preserve"> </w:t>
      </w:r>
      <w:r>
        <w:rPr>
          <w:rFonts w:ascii="Myanmar Text" w:hAnsi="Myanmar Text" w:eastAsia="Myanmar Text" w:cs="Myanmar Text"/>
        </w:rPr>
        <w:t>ပရိုတက်စတန့်ဝါဒ၏</w:t>
      </w:r>
      <w:r>
        <w:rPr>
          <w:rFonts w:ascii="Times New Roman" w:hAnsi="Times New Roman" w:eastAsia="Times New Roman" w:cs="Times New Roman"/>
        </w:rPr>
        <w:t xml:space="preserve"> </w:t>
      </w:r>
      <w:r>
        <w:rPr>
          <w:rFonts w:ascii="Myanmar Text" w:hAnsi="Myanmar Text" w:eastAsia="Myanmar Text" w:cs="Myanmar Text"/>
        </w:rPr>
        <w:t>သီအိုလော်ဂျီကို</w:t>
      </w:r>
      <w:r>
        <w:rPr>
          <w:rFonts w:ascii="Times New Roman" w:hAnsi="Times New Roman" w:eastAsia="Times New Roman" w:cs="Times New Roman"/>
        </w:rPr>
        <w:t xml:space="preserve"> </w:t>
      </w:r>
      <w:r>
        <w:rPr>
          <w:rFonts w:ascii="Myanmar Text" w:hAnsi="Myanmar Text" w:eastAsia="Myanmar Text" w:cs="Myanmar Text"/>
        </w:rPr>
        <w:t>လက်ခံယူသဖြင့်</w:t>
      </w:r>
      <w:r>
        <w:rPr>
          <w:rFonts w:ascii="Times New Roman" w:hAnsi="Times New Roman" w:eastAsia="Times New Roman" w:cs="Times New Roman"/>
        </w:rPr>
        <w:t xml:space="preserve"> </w:t>
      </w:r>
      <w:r>
        <w:rPr>
          <w:rFonts w:ascii="Myanmar Text" w:hAnsi="Myanmar Text" w:eastAsia="Myanmar Text" w:cs="Myanmar Text"/>
        </w:rPr>
        <w:t>ဖြစ်ပေါ်လာခဲ့ခြင်းဖြစ်သည်။</w:t>
      </w:r>
    </w:p>
    <w:p>
      <w:pPr>
        <w:pStyle w:val="ArticleBody"/>
        <w:jc w:val="left"/>
      </w:pPr>
      <w:r>
        <w:rPr>
          <w:rFonts w:ascii="Times New Roman" w:hAnsi="Times New Roman" w:eastAsia="Times New Roman" w:cs="Times New Roman"/>
        </w:rPr>
        <w:t>Kha thutê thuiah, mi ṭhenkhatin Rome pathum chu hrilfiah nan Sunday law hmang an tum laiin, Pathian thu hrilhlawknaa Sunday law pali tak a awm tih an hriat lo va; kum 321 chu United States-a a lo la thleng leh dawn Sunday law a entîr a, kum 538-a Sunday law chuan khawvêl ram zawng zawngah tihhlawhtlin tur Sunday law chu a entîr thung. Sunday law pali chu Sunday law pathum a kawk thei lo, a bîkin hrilhlawkna hmanga hman thumnaah langna pathumna chuan tawpna famkimna a entîr ṭhin avângin. United States-a a lo la thleng leh dawn Sunday law chu tawpna Sunday law a ni lo; khawvêl pum pui-a ram tinte’n pope thuneihna hriatna chhinchhiahna an pawm zel anga, Sunday law hrang hrang ziarin a lo chhuak zêl dawnna bul a tâwk zâwk a ni.</w:t>
      </w:r>
    </w:p>
    <w:p>
      <w:pPr>
        <w:pStyle w:val="ArticleBody"/>
        <w:jc w:val="left"/>
      </w:pPr>
      <w:r>
        <w:rPr>
          <w:rFonts w:ascii="Times New Roman" w:hAnsi="Times New Roman" w:eastAsia="Times New Roman" w:cs="Times New Roman"/>
        </w:rPr>
        <w:t>Mereka yang dibangunkan pada Juli 2023 dituntut untuk memahami bahwa ujian nubuatan yang mereka hadapi terjadi selama pencurahan Roh Kudus, dan bahwa selama pencurahan itu satu golongan sedang menerima “minyak,” sedangkan golongan yang lain sedang menerima “kesesatan yang kuat.” Gambaran utama dari mereka yang menerima kesesatan yang kuat dinyatakan dalam pasal yang sama tempat ungkapan kesesatan yang kuat itu terdapat, dan dalam pasal itu kebenaran yang entah dikasihi atau ditolak adalah kebenaran yang mendefinisikan hubungan kenabian antara Roma kafir dan Roma kepausan.</w:t>
      </w:r>
    </w:p>
    <w:p>
      <w:pPr>
        <w:pStyle w:val="ArticleBody"/>
        <w:jc w:val="left"/>
      </w:pPr>
      <w:r>
        <w:rPr>
          <w:rFonts w:ascii="Times New Roman" w:hAnsi="Times New Roman" w:eastAsia="Times New Roman" w:cs="Times New Roman"/>
        </w:rPr>
        <w:t>Hubungan nubuatan antara 321 dan 538 ditunjukkan oleh hubungan nubuatan antara jemaat Pergamus dan jemaat Tiatira. Pada akhir zaman, Roma kafir, yang dilambangkan oleh 321 dan Pergamus, merupakan lambang Amerika Serikat, dan Roma kepausan, yang dilambangkan oleh 538 dan Tiatira, merupakan lambang Roma Modern.</w:t>
      </w:r>
    </w:p>
    <w:p>
      <w:pPr>
        <w:pStyle w:val="ArticleBody"/>
        <w:jc w:val="left"/>
      </w:pP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ပထမအဆင့်ဖြစ်သော</w:t>
      </w:r>
      <w:r>
        <w:rPr>
          <w:rFonts w:ascii="Times New Roman" w:hAnsi="Times New Roman" w:eastAsia="Times New Roman" w:cs="Times New Roman"/>
        </w:rPr>
        <w:t xml:space="preserve"> </w:t>
      </w:r>
      <w:r>
        <w:rPr>
          <w:rFonts w:ascii="Myanmar Text" w:hAnsi="Myanmar Text" w:eastAsia="Myanmar Text" w:cs="Myanmar Text"/>
        </w:rPr>
        <w:t>၃၂၁</w:t>
      </w:r>
      <w:r>
        <w:rPr>
          <w:rFonts w:ascii="Times New Roman" w:hAnsi="Times New Roman" w:eastAsia="Times New Roman" w:cs="Times New Roman"/>
        </w:rPr>
        <w:t xml:space="preserve"> </w:t>
      </w:r>
      <w:r>
        <w:rPr>
          <w:rFonts w:ascii="Myanmar Text" w:hAnsi="Myanmar Text" w:eastAsia="Myanmar Text" w:cs="Myanmar Text"/>
        </w:rPr>
        <w:t>ခုနှစ်က</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တစ်ခုတည်းသော</w:t>
      </w:r>
      <w:r>
        <w:rPr>
          <w:rFonts w:ascii="Times New Roman" w:hAnsi="Times New Roman" w:eastAsia="Times New Roman" w:cs="Times New Roman"/>
        </w:rPr>
        <w:t xml:space="preserve"> </w:t>
      </w:r>
      <w:r>
        <w:rPr>
          <w:rFonts w:ascii="Myanmar Text" w:hAnsi="Myanmar Text" w:eastAsia="Myanmar Text" w:cs="Myanmar Text"/>
        </w:rPr>
        <w:t>အာဏာပိုင်နိုင်ငံတစ်ရပ်</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၅၃၈</w:t>
      </w:r>
      <w:r>
        <w:rPr>
          <w:rFonts w:ascii="Times New Roman" w:hAnsi="Times New Roman" w:eastAsia="Times New Roman" w:cs="Times New Roman"/>
        </w:rPr>
        <w:t xml:space="preserve"> </w:t>
      </w:r>
      <w:r>
        <w:rPr>
          <w:rFonts w:ascii="Myanmar Text" w:hAnsi="Myanmar Text" w:eastAsia="Myanmar Text" w:cs="Myanmar Text"/>
        </w:rPr>
        <w:t>ခုနှစ်က</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ပေါင်းစပ်ထားသော</w:t>
      </w:r>
      <w:r>
        <w:rPr>
          <w:rFonts w:ascii="Times New Roman" w:hAnsi="Times New Roman" w:eastAsia="Times New Roman" w:cs="Times New Roman"/>
        </w:rPr>
        <w:t xml:space="preserve"> </w:t>
      </w:r>
      <w:r>
        <w:rPr>
          <w:rFonts w:ascii="Myanmar Text" w:hAnsi="Myanmar Text" w:eastAsia="Myanmar Text" w:cs="Myanmar Text"/>
        </w:rPr>
        <w:t>နှစ်မျိုးတည်းသော</w:t>
      </w:r>
      <w:r>
        <w:rPr>
          <w:rFonts w:ascii="Times New Roman" w:hAnsi="Times New Roman" w:eastAsia="Times New Roman" w:cs="Times New Roman"/>
        </w:rPr>
        <w:t xml:space="preserve"> </w:t>
      </w:r>
      <w:r>
        <w:rPr>
          <w:rFonts w:ascii="Myanmar Text" w:hAnsi="Myanmar Text" w:eastAsia="Myanmar Text" w:cs="Myanmar Text"/>
        </w:rPr>
        <w:t>အာဏာတစ်ရပ်ဖြစ်၍</w:t>
      </w:r>
      <w:r>
        <w:rPr>
          <w:rFonts w:ascii="Times New Roman" w:hAnsi="Times New Roman" w:eastAsia="Times New Roman" w:cs="Times New Roman"/>
        </w:rPr>
        <w:t xml:space="preserve"> </w:t>
      </w:r>
      <w:r>
        <w:rPr>
          <w:rFonts w:ascii="Myanmar Text" w:hAnsi="Myanmar Text" w:eastAsia="Myanmar Text" w:cs="Myanmar Text"/>
        </w:rPr>
        <w:t>ထိုဆက်ဆံရေးတွင်</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အုပ်စိုးထိန်းချုပ်လျက်ရှိခဲ့သည်။</w:t>
      </w:r>
      <w:r>
        <w:rPr>
          <w:rFonts w:ascii="Times New Roman" w:hAnsi="Times New Roman" w:eastAsia="Times New Roman" w:cs="Times New Roman"/>
        </w:rPr>
        <w:t xml:space="preserve"> </w:t>
      </w:r>
      <w:r>
        <w:rPr>
          <w:rFonts w:ascii="Myanmar Text" w:hAnsi="Myanmar Text" w:eastAsia="Myanmar Text" w:cs="Myanmar Text"/>
        </w:rPr>
        <w:t>တတိယနှင့်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ယနေ့ခေတ်</w:t>
      </w:r>
      <w:r>
        <w:rPr>
          <w:rFonts w:ascii="Times New Roman" w:hAnsi="Times New Roman" w:eastAsia="Times New Roman" w:cs="Times New Roman"/>
        </w:rPr>
        <w:t xml:space="preserve"> </w:t>
      </w:r>
      <w:r>
        <w:rPr>
          <w:rFonts w:ascii="Myanmar Text" w:hAnsi="Myanmar Text" w:eastAsia="Myanmar Text" w:cs="Myanmar Text"/>
        </w:rPr>
        <w:t>ရောမဖြစ်သောအရာမှာ</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မိစ္ဆာပရောဖက်တို့ဖြင့်</w:t>
      </w:r>
      <w:r>
        <w:rPr>
          <w:rFonts w:ascii="Times New Roman" w:hAnsi="Times New Roman" w:eastAsia="Times New Roman" w:cs="Times New Roman"/>
        </w:rPr>
        <w:t xml:space="preserve"> </w:t>
      </w:r>
      <w:r>
        <w:rPr>
          <w:rFonts w:ascii="Myanmar Text" w:hAnsi="Myanmar Text" w:eastAsia="Myanmar Text" w:cs="Myanmar Text"/>
        </w:rPr>
        <w:t>ဖွဲ့စည်းထားသော</w:t>
      </w:r>
      <w:r>
        <w:rPr>
          <w:rFonts w:ascii="Times New Roman" w:hAnsi="Times New Roman" w:eastAsia="Times New Roman" w:cs="Times New Roman"/>
        </w:rPr>
        <w:t xml:space="preserve"> </w:t>
      </w:r>
      <w:r>
        <w:rPr>
          <w:rFonts w:ascii="Myanmar Text" w:hAnsi="Myanmar Text" w:eastAsia="Myanmar Text" w:cs="Myanmar Text"/>
        </w:rPr>
        <w:t>သုံးမျိုးတည်းသော</w:t>
      </w:r>
      <w:r>
        <w:rPr>
          <w:rFonts w:ascii="Times New Roman" w:hAnsi="Times New Roman" w:eastAsia="Times New Roman" w:cs="Times New Roman"/>
        </w:rPr>
        <w:t xml:space="preserve"> </w:t>
      </w:r>
      <w:r>
        <w:rPr>
          <w:rFonts w:ascii="Myanmar Text" w:hAnsi="Myanmar Text" w:eastAsia="Myanmar Text" w:cs="Myanmar Text"/>
        </w:rPr>
        <w:t>အာဏာတစ်ရပ်</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Paulus mengajarkan bahawa kegagalan untuk memahami hubungan nubuat dan sejarah antara Roma kafir (naga) dan Roma kepausan (binatang itu) merupakan pernyataan kebencian terhadap kebenaran yang mendatangkan kesesatan yang kuat. Semua nabi, termasuk Paulus, secara lebih khusus sedang membicarakan zaman akhir; oleh itu, hubungan antara kedua-dua kuasa dalam sejarah Paulus melambangkan hubungan antara tiga kuasa Roma Moden pada zaman akhir. Menolak hubungan nubuat yang “membentuk” kesatuan tiga serangkai antara naga, binatang itu, dan nabi palsu pada zaman akhir bererti memastikan kesesatan yang kuat atas dirimu sendiri.</w:t>
      </w:r>
    </w:p>
    <w:p>
      <w:pPr>
        <w:pStyle w:val="ArticleBody"/>
        <w:jc w:val="left"/>
      </w:pPr>
      <w:r>
        <w:rPr>
          <w:rFonts w:ascii="Times New Roman" w:hAnsi="Times New Roman" w:eastAsia="Times New Roman" w:cs="Times New Roman"/>
        </w:rPr>
        <w:t>Tafsiran peribadi Uriah Smith mengenai raja dari utara melambangkan suatu “sebab” yang menghasilkan suatu “akibat.” Tetapi golongan yang berada di pihak yang salah dalam pertikaian-pertikaian tentang Roma dikenal pasti secara khusus sebagai tidak mampu bernalar daripada sebab kepada akibat. Smith tidak melihat bahawa penerapannya yang cacat terhadap raja dari utara akan menghasilkan suatu landasan nubuat yang akan menuntunnya juga untuk salah menggambarkan tulah yang keenam, di mana terdapat suatu amaran untuk memelihara atau kehilangan pakaian kebenaran Kristus.</w:t>
      </w:r>
    </w:p>
    <w:p>
      <w:pPr>
        <w:pStyle w:val="ArticleBody"/>
        <w:jc w:val="left"/>
      </w:pPr>
      <w:r>
        <w:rPr>
          <w:rFonts w:ascii="Times New Roman" w:hAnsi="Times New Roman" w:eastAsia="Times New Roman" w:cs="Times New Roman"/>
        </w:rPr>
        <w:t>Bagaimana dengan penekanan Paulus dalam 2 Tesalonika, Yohanes dalam pasal keenam belas Kitab Wahyu dan tulah yang keenam menekankan perlunya memahami siapakah tiga kuasa yang menuntun dunia menuju Armagedon. Penerapan Smith yang keliru tentang raja dari utara menjadi bukti ketidakmampuan untuk menerapkan tipe dan antitipe dengan benar.</w:t>
      </w:r>
    </w:p>
    <w:p>
      <w:pPr>
        <w:pStyle w:val="ArticleBody"/>
        <w:jc w:val="left"/>
      </w:pPr>
      <w:r>
        <w:rPr>
          <w:rFonts w:ascii="Times New Roman" w:hAnsi="Times New Roman" w:eastAsia="Times New Roman" w:cs="Times New Roman"/>
        </w:rPr>
        <w:t>Smith ngak nguh, atawa teu daék, nerapkeun prinsip anu kacida pageuhna ditepikeun dina tulisan-tulisan Paulus yén anu literal saméméh mangsa salib ngagambarkeun anu rohani sanggeus mangsa salib. Lamun prinsip ieu dituturkeun kalayan taliti jeung leres, bakal gampang dibuktikeun yén “raja ti kalér” téh salah sahiji tina loba simbol anu ngagambarkeun “raja ti kalér” anu rohani dina poé-poé panungtungan. Umat Advent Hari Katujuh, leuwih ti batan jalma-jalma séjén mana waé, kedah nyaho yén salah sahiji struktur utama anu jadi dasar nubuat téh nya éta pertentangan antara Kristus jeung Iblis. Kristus nyaéta Raja sajati ti kalér, sarta Iblis geus narékahan pikeun nembongkeun dirina sorangan minangka raja palsu ti kalér.</w:t>
      </w:r>
    </w:p>
    <w:p>
      <w:pPr>
        <w:pStyle w:val="ArticleScripture"/>
        <w:jc w:val="left"/>
      </w:pPr>
      <w:r>
        <w:rPr>
          <w:rFonts w:ascii="Times New Roman" w:hAnsi="Times New Roman" w:eastAsia="Times New Roman" w:cs="Times New Roman"/>
        </w:rPr>
        <w:t>Sebuah Nyanyian dan Mazmur bagi bani Korah. Besarlah TUHAN, dan sangat patut dipuji di kota Allah kita, di gunung kekudusan-Nya. Elok karena letaknya, sukacita seluruh bumi, ialah gunung Sion, di sebelah utara, kota Raja yang besar. Allah dikenal di istana-istananya sebagai tempat perlindungan. Mazmur 48:1–3.</w:t>
      </w:r>
    </w:p>
    <w:p>
      <w:pPr>
        <w:pStyle w:val="ArticleBody"/>
        <w:jc w:val="left"/>
      </w:pPr>
      <w:r>
        <w:rPr>
          <w:rFonts w:ascii="Times New Roman" w:hAnsi="Times New Roman" w:eastAsia="Times New Roman" w:cs="Times New Roman"/>
        </w:rPr>
        <w:t>Boitekošo bja Sathane bja go ekiša Kgoši ya therešo ya Leboa bo akaretša go diriša mopapa wa Roma bjalo ka moemedi wa gagwe wa lefaseng. Sathane ke antikriste, gomme le mopapa wa Roma le yena ke antikriste, e lego moemedi wa Sathane medirong ya gagwe ya bofora.</w:t>
      </w:r>
    </w:p>
    <w:p>
      <w:pPr>
        <w:pStyle w:val="ArticleScripture"/>
        <w:jc w:val="left"/>
      </w:pPr>
      <w:r>
        <w:rPr>
          <w:rFonts w:ascii="Times New Roman" w:hAnsi="Times New Roman" w:eastAsia="Times New Roman" w:cs="Times New Roman"/>
        </w:rPr>
        <w:t>“Untuk memperoleh keuntungan dan penghormatan duniawi, gereja telah dituntun untuk mencari perkenanan dan dukungan dari orang-orang besar di bumi; dan dengan demikian, setelah menolak Kristus, ia dibujuk untuk menyerahkan kesetiaan kepada wakil Setan—uskup Roma.” The Great Controversy, 50.</w:t>
      </w:r>
    </w:p>
    <w:p>
      <w:pPr>
        <w:pStyle w:val="ArticleBody"/>
        <w:jc w:val="left"/>
      </w:pPr>
      <w:r>
        <w:rPr>
          <w:rFonts w:ascii="Times New Roman" w:hAnsi="Times New Roman" w:eastAsia="Times New Roman" w:cs="Times New Roman"/>
        </w:rPr>
        <w:t>Ka ho arohana ka kīngitanga o Alexander te Rahi, ka noho ko Seleucus Nicator hei kīngi tuatahi o te raki i roto i te hītori e whakaaturia ana i a Daniel upoko tekau mā tahi. Ko tōna matua, ko Antiochus, he kaiārahi whai mana i roto i te kīngitanga o Alexander, ā, ko tāna tama, ko Seleucus, i whakatauria hei satrap mō Papurona. Ko te “satrap” he kāwana, ā, nō te wā i mau ai i a Seleucus e toru o ngā rohe ā-whenua e whā i wāwāhia ai te kīngitanga o Alexander, ka noho ia hei kīngi o te raki.</w:t>
      </w:r>
    </w:p>
    <w:p>
      <w:pPr>
        <w:pStyle w:val="ArticleBody"/>
        <w:jc w:val="left"/>
      </w:pPr>
      <w:r>
        <w:rPr>
          <w:rFonts w:ascii="Times New Roman" w:hAnsi="Times New Roman" w:eastAsia="Times New Roman" w:cs="Times New Roman"/>
        </w:rPr>
        <w:t>Penafsiran peribadi Smith dan pengabaian terhadap kaedah tatabahasa telah membawanya kepada anggapan bahawa kuasa-kuasa terakhir yang membentuk konfederasi kejahatan Satan pada akhir zaman digambarkan dalam nubuatan sebagai kuasa harfiah, bukannya kuasa rohani. Oleh itu, dia tidak dapat melihat bahawa Seleucus Nicator sebagai raja utara yang pertama, gabenor Babilon, menurut keperluan nubuatan akan melambangkan raja utara rohani yang terakhir, iaitu kuasa yang menguasai Babilon rohani moden.</w:t>
      </w:r>
    </w:p>
    <w:p>
      <w:pPr>
        <w:pStyle w:val="ArticleScripture"/>
        <w:jc w:val="left"/>
      </w:pPr>
      <w:r>
        <w:rPr>
          <w:rFonts w:ascii="Times New Roman" w:hAnsi="Times New Roman" w:eastAsia="Times New Roman" w:cs="Times New Roman"/>
        </w:rPr>
        <w:t>Үүний дараа долоон аяга барьсан долоон тэнгэрэлчийн нэг нь ирж, надтай ярин, надад ийн хэлэв: Нааш ир; олон усан дээр суугч агуу янхны шүүлтийг чамд үзүүлье. Түүнтэй газрын хаад садарлан үйлдэж, газрын оршин суугчид түүний садар самууны дарсанд согтсон билээ. Тэгээд тэр намайг Сүнсэн дотор цөл уруу аваачив. Би доромжлолын нэрсээр дүүрэн, долоон толгой, арван эвэртэй, час улаан өнгийн араатны дээр суусан нэгэн эмэгтэйг харлаа. Тэр эмэгтэй нил ягаан болон час улаан өнгөөр хувцаслаж, алт, үнэт чулуунууд, сувдаар гоёж, гартаа жигшүүрт зүйлс болон өөрийн садар самууны бузар булайгаар дүүрсэн алтан аяга барьсан байв. Түүний духан дээр, НУУЦ, АГУУ ВАВИЛОН, ЯНХНУУД БА ГАЗРЫН ЖИГШҮҮРҮҮДИЙН ЭХ хэмээх нэр бичээстэй байлаа. Би тэр эмэгтэйг ариун хүмүүсийн цусаар, Есүсийн гэрчүүдийн цусаар согтсон байхыг харлаа. Түүнийг хараад би үлэмж гайхан биширч байв. Илчлэл 17:1–6.</w:t>
      </w:r>
    </w:p>
    <w:p>
      <w:pPr>
        <w:pStyle w:val="ArticleBody"/>
        <w:jc w:val="left"/>
      </w:pPr>
      <w:r>
        <w:rPr>
          <w:rFonts w:ascii="Times New Roman" w:hAnsi="Times New Roman" w:eastAsia="Times New Roman" w:cs="Times New Roman"/>
        </w:rPr>
        <w:t>Maatla a laolang Babilona mehleng ya bofelo ke kereke ya bopapa, mme ka hona le yona ke morena wa leboya wa semoya.</w:t>
      </w:r>
    </w:p>
    <w:p>
      <w:pPr>
        <w:pStyle w:val="ArticleScripture"/>
        <w:jc w:val="left"/>
      </w:pPr>
      <w:r>
        <w:rPr>
          <w:rFonts w:ascii="Times New Roman" w:hAnsi="Times New Roman" w:eastAsia="Times New Roman" w:cs="Times New Roman"/>
        </w:rPr>
        <w:t>“Wanita (Babel) dalam Wahyu 17 digambarkan sebagai ‘berpakaian ungu dan kain kirmizi, serta berhias emas dan batu-batu permata dan mutiara, memegang di tangannya sebuah cawan emas yang penuh dengan kekejian dan kenajisan: … dan pada dahinya tertulis suatu nama, Rahasia, Babel Besar, ibu dari para pelacur.’ Nabi itu berkata: ‘Aku melihat wanita itu mabuk oleh darah orang-orang kudus, dan oleh darah para martir Yesus.’ Selanjutnya Babel dinyatakan sebagai ‘kota besar itu, yang memerintah atas raja-raja di bumi.’ Wahyu 17:4-6, 18. Kuasa yang selama begitu banyak abad mempertahankan pemerintahan despotik atas para penguasa dunia Kristen ialah Roma. Warna ungu dan kirmizi, emas dan batu-batu permata serta mutiara, dengan jelas melukiskan kemegahan dan keagungan yang melebihi kebesaran raja-raja yang ditampilkan oleh takhta Roma yang congkak itu. Dan tidak ada kuasa lain yang dapat dengan begitu tepat dinyatakan ‘mabuk oleh darah orang-orang kudus’ selain gereja yang telah dengan begitu kejam menganiaya para pengikut Kristus itu. Babel juga dituduh dengan dosa hubungan yang tidak sah dengan ‘raja-raja di bumi.’ Oleh karena menyimpang dari Tuhan, dan bersekutu dengan orang-orang kafir, gereja Yahudi menjadi seorang pelacur; dan Roma, yang merusakkan dirinya dengan cara yang sama, yakni dengan mencari sokongan kuasa-kuasa duniawi, menerima hukuman yang serupa.” The Great Controversy, 382.</w:t>
      </w:r>
    </w:p>
    <w:p>
      <w:pPr>
        <w:pStyle w:val="ArticleBody"/>
        <w:jc w:val="left"/>
      </w:pPr>
      <w:r>
        <w:rPr>
          <w:rFonts w:ascii="Times New Roman" w:hAnsi="Times New Roman" w:eastAsia="Times New Roman" w:cs="Times New Roman"/>
        </w:rPr>
        <w:t>Gobara ke kgosi, mme go ya ka Isaia, kgosi ke bogosi e bile gape ke motsemogolo wa bogosi.</w:t>
      </w:r>
    </w:p>
    <w:p>
      <w:pPr>
        <w:pStyle w:val="ArticleScripture"/>
        <w:jc w:val="left"/>
      </w:pPr>
      <w:r>
        <w:rPr>
          <w:rFonts w:ascii="Times New Roman" w:hAnsi="Times New Roman" w:eastAsia="Times New Roman" w:cs="Times New Roman"/>
        </w:rPr>
        <w:t>Sababtoo mataan Siiriyaa Damaasqodhaa, mataan Damaasqoo immoo Reziin; waggaa jaatamii shanii keessatti Efreem saba akka hin taaneef ni caccaba. Mataan Efreem immoo Samaariyaa, mataan Samaariyaa ilmi Remaaliyaas. Yoo isin amanuu baattan, dhugumaan hin jabaattan. Isaayaas 7:8, 9.</w:t>
      </w:r>
    </w:p>
    <w:p>
      <w:pPr>
        <w:pStyle w:val="ArticleBody"/>
        <w:jc w:val="left"/>
      </w:pPr>
      <w:r>
        <w:rPr>
          <w:rFonts w:ascii="Times New Roman" w:hAnsi="Times New Roman" w:eastAsia="Times New Roman" w:cs="Times New Roman"/>
        </w:rPr>
        <w:t>Menurut kesaksian Yesaya, seorang pelajar nubuatan yang terbangun pada bulan Juli 2023 kepada suatu proses pengujian nubuatan harus mengenali perlambangan nubuatan tentang “kepala” jika ia ingin diteguhkan. Jika ia tidak mengenali dan menerapkan perlambangan “kepala” ketika hal itu dituntut, maka ia tidak diteguhkan. Mereka yang tidak percaya tidak diteguhkan, dan oleh sebab itu Yesaya sedang menunjukkan dua golongan penyembah pada hari-hari terakhir yang entah diteguhkan atau tidak diteguhkan. Mereka adalah dua golongan yang sama yang entah memiliki “minyak,” atau tidak memiliki “minyak.”</w:t>
      </w:r>
    </w:p>
    <w:p>
      <w:pPr>
        <w:pStyle w:val="ArticleBody"/>
        <w:jc w:val="left"/>
      </w:pPr>
      <w:r>
        <w:rPr>
          <w:rFonts w:ascii="Times New Roman" w:hAnsi="Times New Roman" w:eastAsia="Times New Roman" w:cs="Times New Roman"/>
        </w:rPr>
        <w:t>Kelas yang ditegakkan dan memiliki minyak menerima pekabaran Seruan Tengah Malam yang mulai disingkapkan pada bulan Juli 2023, atau mereka menerima kesesatan yang kuat dari 2 Tesalonika. Ujian mereka ialah pembentukan patung binatang itu, dan cara bagaimana binatang itu dibentuk, baik binatang kepausan dari Zaman Kegelapan, maupun patungnya yang dibentuk oleh Amerika Serikat, ataupun persatuan rangkap tiga yang menuntun dunia kepada Armagedon. Ini mencakup keharusan untuk mengenali bahwa “kepala,” “raja,” yakni penguasa atas dua kuasa lainnya yang membentuk persatuan rangkap tiga itu, adalah kuasa kepausan.</w:t>
      </w:r>
    </w:p>
    <w:p>
      <w:pPr>
        <w:pStyle w:val="ArticleBody"/>
        <w:jc w:val="left"/>
      </w:pPr>
      <w:r>
        <w:rPr>
          <w:rFonts w:ascii="Times New Roman" w:hAnsi="Times New Roman" w:eastAsia="Times New Roman" w:cs="Times New Roman"/>
        </w:rPr>
        <w:t>“hloko,” motse-moholo wa Juda, e ne e le Jerusalema, motse wo Morena a o kgethilego go bea leina la Gagwe go wona.</w:t>
      </w:r>
    </w:p>
    <w:p>
      <w:pPr>
        <w:pStyle w:val="ArticleScripture"/>
        <w:jc w:val="left"/>
      </w:pPr>
      <w:r>
        <w:rPr>
          <w:rFonts w:ascii="Times New Roman" w:hAnsi="Times New Roman" w:eastAsia="Times New Roman" w:cs="Times New Roman"/>
        </w:rPr>
        <w:t>Dan Rehabeam anak Salomo memerintah di Yehuda. Rehabeam berumur empat puluh satu tahun ketika ia mulai memerintah, dan ia memerintah tujuh belas tahun di Yerusalem, kota yang telah dipilih TUHAN dari segala suku Israel untuk menaruh nama-Nya di sana. Dan nama ibunya ialah Naama, seorang perempuan Amon. 1 Raja-raja 14:21.</w:t>
      </w:r>
    </w:p>
    <w:p>
      <w:pPr>
        <w:pStyle w:val="ArticleBody"/>
        <w:jc w:val="left"/>
      </w:pPr>
      <w:r>
        <w:rPr>
          <w:rFonts w:ascii="Times New Roman" w:hAnsi="Times New Roman" w:eastAsia="Times New Roman" w:cs="Times New Roman"/>
        </w:rPr>
        <w:t>Dalam pertikaian besar antara Kristus dan Setan, kota utama Kristus, tempat Ia menaruh nama-Nya, ialah Yerusalem, dan tiruan palsu Setan ialah kota Babel secara harfiah yang melambangkan Babel rohani, kota besar itu, pada akhir zaman. Setan menaruh namanya pada dahi sebagai tiruan palsu atas kota dan ibu kota Allah. Raja yang berdiam di sana ialah ibu dari perempuan-perempuan sundal yang berzina dengan raja-raja di bumi. Ibu dari perempuan-perempuan sundal itu ialah kuasa kepausan, dan anak-anak perempuannya ialah gereja-gereja Protestan yang telah jatuh, yang di antaranya gereja utama yang telah murtad dan jatuh ialah kaum Protestan murtad di Amerika Serikat.</w:t>
      </w:r>
    </w:p>
    <w:p>
      <w:pPr>
        <w:pStyle w:val="ArticleBody"/>
        <w:jc w:val="left"/>
      </w:pPr>
      <w:r>
        <w:rPr>
          <w:rFonts w:ascii="Times New Roman" w:hAnsi="Times New Roman" w:eastAsia="Times New Roman" w:cs="Times New Roman"/>
        </w:rPr>
        <w:t>Protestan yang murtad itu melambangkan tanduk Protestan dari binatang bumi itu, dan mereka terhubung dengan ibu mereka karena penolakan mereka terhadap pekabaran nubuatan yang telah dimeteraibukakan pada tahun 1798. Padanan mereka, tanduk Republik, terhubung dengan raja-raja di bumi melalui hubungan mereka dengan Perserikatan Bangsa-Bangsa, yaitu kesepuluh raja dalam Wahyu pasal tujuh belas. Persatuan rangkap tiga yang menuntun dunia menuju Armagedon dilambangkan oleh kepalanya, tempat namanya diletakkan, dan Roma modern rohani adalah Babel modern rohani. “Kepalanya” adalah kuasa kepausan.</w:t>
      </w:r>
    </w:p>
    <w:p>
      <w:pPr>
        <w:pStyle w:val="ArticleBody"/>
        <w:jc w:val="left"/>
      </w:pPr>
      <w:r>
        <w:rPr>
          <w:rFonts w:ascii="Times New Roman" w:hAnsi="Times New Roman" w:eastAsia="Times New Roman" w:cs="Times New Roman"/>
        </w:rPr>
        <w:t>Ya mbụ na-anọchi anya nke ikpeazụ, ma ma ị kpọọ Daniel isi nke abụọ n’ọrụ dịka ndị Millerite mere, dị ka nke na-anọchi anya alaeze anọ, ma ọ bụ dịka e meghere ya n’ụbọchị ikpeazụ dị ka nke na-anọchi anya alaeze asatọ, alaeze mbụ ahụ bụ Babilọn nkịtị. Ndị Millerite ga-agwa gị na nke ikpeazụ bụ Rom nkịtị. Babilọn na Rom bụ ihe nnọchianya ndị a pụrụ iji dochie ibe ha, n’ihi na ha bụ ndị mbụ na ndị ikpeazụ n’ahịrị amụma.</w:t>
      </w:r>
    </w:p>
    <w:p>
      <w:pPr>
        <w:pStyle w:val="ArticleBody"/>
        <w:jc w:val="left"/>
      </w:pPr>
      <w:r>
        <w:rPr>
          <w:rFonts w:ascii="Times New Roman" w:hAnsi="Times New Roman" w:eastAsia="Times New Roman" w:cs="Times New Roman"/>
        </w:rPr>
        <w:t>Ka malemela a bofelo mmušo wa pele wa Babilona ya kgonthe o emela mmušo wa seswai le wa mafelelo, e lego Babilona ya semoya ya mehleng ya sebjalebjale, gomme gape ke Roma ya semoya ya mehleng ya sebjalebjale. Go ya ka dihlatse tše pedi tše di emetšwego go Daniele kgaolo ya bobedi, Babilona le Roma ke maswao ao a šomišwago ka go fapantšhana.</w:t>
      </w:r>
    </w:p>
    <w:p>
      <w:pPr>
        <w:pStyle w:val="ArticleBody"/>
        <w:jc w:val="left"/>
      </w:pPr>
      <w:r>
        <w:rPr>
          <w:rFonts w:ascii="Times New Roman" w:hAnsi="Times New Roman" w:eastAsia="Times New Roman" w:cs="Times New Roman"/>
        </w:rPr>
        <w:t>Apabila sundal kepausan itu digambarkan dengan suatu nama pada dahinya yang menandakan “Babilon Rahasia”, hal itu juga menandakan “Roma rahasia”. Suatu “rahasia” nubuatan melambangkan suatu kebenaran yang demikian dalam sehingga mustahil untuk memahami kedalaman kebenaran yang dilambangkan di dalamnya, khususnya tanpa pengaruh Roh Kudus. Namun, suatu “rahasia” alkitabiah juga menuntut bahwa apa yang dinyatakan sehubungan dengan rahasia itu merupakan suatu pengertian yang wajib bagi mereka yang berusaha untuk lulus ujian. Inilah sebabnya dua saksi dalam Wahyu menekankan perlunya memahami Roma modern.</w:t>
      </w:r>
    </w:p>
    <w:p>
      <w:pPr>
        <w:pStyle w:val="ArticleScripture"/>
        <w:jc w:val="left"/>
      </w:pPr>
      <w:r>
        <w:rPr>
          <w:rFonts w:ascii="Times New Roman" w:hAnsi="Times New Roman" w:eastAsia="Times New Roman" w:cs="Times New Roman"/>
        </w:rPr>
        <w:t>Aha na nyansa wɔ ha. Ma nea ɔwɔ ntease no nkan akyekyɛde no nɔma; efisɛ ɛyɛ onipa bi nɔma; na ne nɔma yɛ ahansia aduosia asia. Adiyisɛm 13:18.</w:t>
      </w:r>
    </w:p>
    <w:p>
      <w:pPr>
        <w:pStyle w:val="ArticleBody"/>
        <w:jc w:val="left"/>
      </w:pPr>
      <w:r>
        <w:rPr>
          <w:rFonts w:ascii="Times New Roman" w:hAnsi="Times New Roman" w:eastAsia="Times New Roman" w:cs="Times New Roman"/>
        </w:rPr>
        <w:t>“</w:t>
      </w:r>
      <w:r>
        <w:rPr>
          <w:rFonts w:ascii="Nirmala UI" w:hAnsi="Nirmala UI" w:eastAsia="Nirmala UI" w:cs="Nirmala UI"/>
        </w:rPr>
        <w:t>हिकमत</w:t>
      </w:r>
      <w:r>
        <w:rPr>
          <w:rFonts w:ascii="Times New Roman" w:hAnsi="Times New Roman" w:eastAsia="Times New Roman" w:cs="Times New Roman"/>
        </w:rPr>
        <w:t xml:space="preserve">” </w:t>
      </w:r>
      <w:r>
        <w:rPr>
          <w:rFonts w:ascii="Nirmala UI" w:hAnsi="Nirmala UI" w:eastAsia="Nirmala UI" w:cs="Nirmala UI"/>
        </w:rPr>
        <w:t>दरिंदे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दरिंदे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हिकमत</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दानिशमंद</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सिफ़त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निशानी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अफ़ज़ाइश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नादान</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हिकमत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नुबूवती</w:t>
      </w:r>
      <w:r>
        <w:rPr>
          <w:rFonts w:ascii="Times New Roman" w:hAnsi="Times New Roman" w:eastAsia="Times New Roman" w:cs="Times New Roman"/>
        </w:rPr>
        <w:t xml:space="preserve"> </w:t>
      </w:r>
      <w:r>
        <w:rPr>
          <w:rFonts w:ascii="Nirmala UI" w:hAnsi="Nirmala UI" w:eastAsia="Nirmala UI" w:cs="Nirmala UI"/>
        </w:rPr>
        <w:t>लाज़िमियत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मुताबिक़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नुबूवती</w:t>
      </w:r>
      <w:r>
        <w:rPr>
          <w:rFonts w:ascii="Times New Roman" w:hAnsi="Times New Roman" w:eastAsia="Times New Roman" w:cs="Times New Roman"/>
        </w:rPr>
        <w:t xml:space="preserve"> </w:t>
      </w:r>
      <w:r>
        <w:rPr>
          <w:rFonts w:ascii="Nirmala UI" w:hAnsi="Nirmala UI" w:eastAsia="Nirmala UI" w:cs="Nirmala UI"/>
        </w:rPr>
        <w:t>इम्तिहान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दानिशमंद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नादान</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मौजूद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ज़ेहन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हिकमत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मुकाशफ़ा</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सत्रहवें</w:t>
      </w:r>
      <w:r>
        <w:rPr>
          <w:rFonts w:ascii="Times New Roman" w:hAnsi="Times New Roman" w:eastAsia="Times New Roman" w:cs="Times New Roman"/>
        </w:rPr>
        <w:t xml:space="preserve"> </w:t>
      </w:r>
      <w:r>
        <w:rPr>
          <w:rFonts w:ascii="Nirmala UI" w:hAnsi="Nirmala UI" w:eastAsia="Nirmala UI" w:cs="Nirmala UI"/>
        </w:rPr>
        <w:t>बाब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मुक़र्रर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Dan inilah akal budi yang mengandungi hikmat. Tujuh kepala itu ialah tujuh gunung, yang di atasnya perempuan itu duduk. Dan ada tujuh raja: lima telah gugur, dan satu ada, dan yang seorang lagi belum datang; dan apabila ia datang, ia mesti tinggal seketika sahaja. Dan binatang yang dahulu ada, dan sekarang tidak ada, bahkan dialah yang kelapan, dan berasal daripada yang tujuh itu, dan ia pergi kepada kebinasaan. Wahyu 17:9–11.</w:t>
      </w:r>
    </w:p>
    <w:p>
      <w:pPr>
        <w:pStyle w:val="ArticleBody"/>
        <w:jc w:val="left"/>
      </w:pPr>
      <w:r>
        <w:rPr>
          <w:rFonts w:ascii="Times New Roman" w:hAnsi="Times New Roman" w:eastAsia="Times New Roman" w:cs="Times New Roman"/>
        </w:rPr>
        <w:t>“Lutlu” lu luyutlûng angkâng hlêretna chu “paruk, paruk, paruk” tih nambâr hi hriatthiam theihna nei, “Krista rilru” changa dawng tawh fimnungnu a ni.</w:t>
      </w:r>
    </w:p>
    <w:p>
      <w:pPr>
        <w:pStyle w:val="ArticleScripture"/>
        <w:jc w:val="left"/>
      </w:pPr>
      <w:r>
        <w:rPr>
          <w:rFonts w:ascii="Times New Roman" w:hAnsi="Times New Roman" w:eastAsia="Times New Roman" w:cs="Times New Roman"/>
        </w:rPr>
        <w:t>Hobi Isolni kim tanibdi, unga yo‘l ko‘rsatsin? Lekin bizda Masihning aqli bordir. 1 Korinfliklarga 2:16.</w:t>
      </w:r>
    </w:p>
    <w:p>
      <w:pPr>
        <w:pStyle w:val="ArticleBody"/>
        <w:jc w:val="left"/>
      </w:pPr>
      <w:r>
        <w:rPr>
          <w:rFonts w:ascii="Times New Roman" w:hAnsi="Times New Roman" w:eastAsia="Times New Roman" w:cs="Times New Roman"/>
        </w:rPr>
        <w:t>Sehlopha sa barwetsana ba bohlale se na le monagano wa Kriste, gomme barwetsana ba mašilo ba ba kgopo ba na le monagano wa lenaba la Kriste.</w:t>
      </w:r>
    </w:p>
    <w:p>
      <w:pPr>
        <w:pStyle w:val="ArticleScripture"/>
        <w:jc w:val="left"/>
      </w:pPr>
      <w:r>
        <w:rPr>
          <w:rFonts w:ascii="Times New Roman" w:hAnsi="Times New Roman" w:eastAsia="Times New Roman" w:cs="Times New Roman"/>
        </w:rPr>
        <w:t>“Waktunya telah tiba bagi terang yang sejati untuk bercahaya di tengah kegelapan moral. Pekabaran malaikat yang ketiga telah disampaikan ke seluruh dunia, memperingatkan manusia agar jangan menerima tanda binatang itu atau patungnya pada dahi mereka atau pada tangan mereka. Menerima tanda ini berarti mengambil keputusan yang sama seperti yang telah diambil oleh binatang itu, dan menganjurkan gagasan-gagasan yang sama, dalam pertentangan langsung dengan firman Allah.” Review and Herald, 13 Juli 1897.</w:t>
      </w:r>
    </w:p>
    <w:p>
      <w:pPr>
        <w:pStyle w:val="ArticleBody"/>
        <w:jc w:val="left"/>
      </w:pPr>
      <w:r>
        <w:rPr>
          <w:rFonts w:ascii="Times New Roman" w:hAnsi="Times New Roman" w:eastAsia="Times New Roman" w:cs="Times New Roman"/>
        </w:rPr>
        <w:t>Kutingwa ka kheto ya sebata ke teko ya bofelo ya dikgarebe tsa setshwantsho, mme ba ba botlhale ba na le mogopolo wa ga Keresete, gonne ba fitlhile kwa tshwetsong e e tshwanang le ya ga Keresete, ka gonne ba neetse thato ya bona mo kaelong ya Mowa o o Boitshepo. Kutingwa ka setshwantsho sa ga Keresete mo dikgarebeng tse di botlhale go farologane le kutingwa ka setshwantsho sa sebata mo dikgarebeng tse di dieleele. Dikgarebe tse di dieleele di fitlha kwa tshwetsong e e tshwanang le ya sebata, gonne di ne tsa tlhakatlhakana mo potsong ya teko e e mabapi le go supiwa sentle ga moganetsi wa ga Keresete, yo e leng kgosi ya bokone ya maitirelo le tlhogo ya Roma ya segompieno.</w:t>
      </w:r>
    </w:p>
    <w:p>
      <w:pPr>
        <w:pStyle w:val="ArticleScripture"/>
        <w:jc w:val="left"/>
      </w:pPr>
      <w:r>
        <w:rPr>
          <w:rFonts w:ascii="Times New Roman" w:hAnsi="Times New Roman" w:eastAsia="Times New Roman" w:cs="Times New Roman"/>
        </w:rPr>
        <w:t>“Mong ba hi kiba kulmar ha ka jingsngewthuh jong ki ia ka Ktien, kiba leh bakla ban iohi ia ka jingmut jong u antichrist, da shisha kin buh ia lade ha ka liang jong u antichrist.” Kress Collection, 105.</w:t>
      </w:r>
    </w:p>
    <w:p>
      <w:pPr>
        <w:pStyle w:val="ArticleBody"/>
        <w:jc w:val="left"/>
      </w:pPr>
      <w:r>
        <w:rPr>
          <w:rFonts w:ascii="Times New Roman" w:hAnsi="Times New Roman" w:eastAsia="Times New Roman" w:cs="Times New Roman"/>
        </w:rPr>
        <w:t>Virgins bodoh dalam masa ujian yang digambarkan sebagai pembentukan patung binatang itu menjadi bingung dalam pemahaman mereka akan Firman. Kebingungan mereka berasaskan kesalahfahaman terhadap Firman nubuatan Tuhan, dan kerana gagal melihat makna yang tepat tentang Roma Moden, mereka menerima kesesatan yang kuat, sampai kepada keputusan yang sama seperti binatang itu, dan memperjuangkan gagasan kepausan yang sama dalam pertentangan langsung dengan Firman Tuhan, lalu menempatkan diri mereka di pihak antikristus.</w:t>
      </w:r>
    </w:p>
    <w:p>
      <w:pPr>
        <w:pStyle w:val="ArticleBody"/>
        <w:jc w:val="left"/>
      </w:pPr>
      <w:r>
        <w:rPr>
          <w:rFonts w:ascii="Times New Roman" w:hAnsi="Times New Roman" w:eastAsia="Times New Roman" w:cs="Times New Roman"/>
        </w:rPr>
        <w:t>Peb yuav txuas ntxiv cov kev xav no hauv tsab xov xwm tom ntej hauv pawg 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Memantapkan Penglihatan - Nombor Enam Belas</dc:title>
  <dc:subject>Ujian Akhir: Memahami Simbolisme Roma dan Penerapan Tiga Lapis Nubuat</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