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Номер Еден</w:t>
      </w:r>
    </w:p>
    <w:p>
      <w:pPr>
        <w:pStyle w:val="ArticleSubtitle"/>
        <w:jc w:val="left"/>
      </w:pPr>
      <w:r>
        <w:rPr>
          <w:rFonts w:ascii="Arial" w:hAnsi="Arial" w:eastAsia="Arial" w:cs="Arial"/>
        </w:rPr>
        <w:t>Kgaolo ya Somo le Nngwe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Sekian waktu lamanya, kami telah menumpukan perhatian kepada sejarah tersembunyi Daniel 11:40, dan dalam beberapa minggu kebelakangan ini, Tuhan telah menarik perhatian kami kepada ayat 27:</w:t>
      </w:r>
    </w:p>
    <w:p>
      <w:pPr>
        <w:pStyle w:val="ArticleScripture"/>
        <w:jc w:val="left"/>
      </w:pPr>
      <w:r>
        <w:rPr>
          <w:rFonts w:ascii="Times New Roman" w:hAnsi="Times New Roman" w:eastAsia="Times New Roman" w:cs="Times New Roman"/>
        </w:rPr>
        <w:t>Kanye mitima ya bato oyo mibale ekozala mpo na kosala mabe, mpe bakolobana lokuta na mesa moko; kasi yango ekolonga te, mpo ete nsuka ezali naino mpo na ntango oyo etyamaki. Daniel 11:27.</w:t>
      </w:r>
    </w:p>
    <w:p>
      <w:pPr>
        <w:pStyle w:val="ArticleBody"/>
        <w:jc w:val="left"/>
      </w:pPr>
      <w:r>
        <w:rPr>
          <w:rFonts w:ascii="Times New Roman" w:hAnsi="Times New Roman" w:eastAsia="Times New Roman" w:cs="Times New Roman"/>
        </w:rPr>
        <w:t>Pada mulanya, saya tidak pasti tentang perinciannya—bila, di mana, dan siapakah yang duduk di meja itu, sambil saling berkata dusta—namun persoalan-persoalan ini kini sedang diteliti semula. Sepanjang beberapa Sabat yang lalu, saya telah melakukan beberapa kesilapan ketika menelusuri baris-baris ini. Namun demikian, melalui apa yang saya percayai sebagai pimpinan pemeliharaan Ilahi, persekutuan-persekutuan yang digambarkan dalam ayat 13–15, yang dilambangkan oleh Kaisarea Filipi, mula tersingkap. Walaupun beberapa unsur masih memerlukan penambahbaikan, saya percaya bahawa Tuhan telah mengangkat tangan-Nya dari ayat-ayat ini untuk menyatakan maknanya.</w:t>
      </w:r>
    </w:p>
    <w:p>
      <w:pPr>
        <w:pStyle w:val="ArticleBody"/>
        <w:jc w:val="left"/>
      </w:pPr>
      <w:r>
        <w:rPr>
          <w:rFonts w:ascii="Times New Roman" w:hAnsi="Times New Roman" w:eastAsia="Times New Roman" w:cs="Times New Roman"/>
        </w:rPr>
        <w:t>Penelekgong ye ya totobala ka pela morago ga kopano ya Zoom ya Sabata e e fetileng. Beke pele ga moo, ke ne ke kgatlhiwe ke tirisanommogo e e raraaneng ya dihisitori mo ditemaneng 10–15. Ke ne ka kwala ka bo ka romela molaetsa wa mokwalo go batho ba le mmalwa ke tlhalosa megopolo ya me, mme ka kopa go e abelana ka Labotlhano maitseboa. Ke ne ke leka go rulaganya dintlha tse di mo ditemaneng tseo, ke tlhatswegile pelo gore go na le sengwe se se botlhokwa thata. Go ntse jalo, fela e ne e se sona se ke neng ka se akanya kwa tshimologong. Le fa ke ne ka kgopisega mo bekeng le seripa tse di fetileng fa ke ntse ke kgaratlha le temana eno, ke lemoga taolo ya tlhokomelo ya Modimo e ke e tlwaetseng. Morena o ne a bula sekhutlo sengwe se se kgethegileng, sa botlhokwa thata, sa boammaaruri. Fa karolo ya botho e senotswe ka botlalo mme e beetswe kwa thoko, boammaaruri—jo bo bulweng ke Tau ya lotso lwa Juda—bo iponatsa bo le boteng thata go feta kafa ke neng ke bo tlhalogantse ka teng.</w:t>
      </w:r>
    </w:p>
    <w:p>
      <w:pPr>
        <w:pStyle w:val="ArticleHeading"/>
        <w:jc w:val="left"/>
      </w:pPr>
      <w:r>
        <w:rPr>
          <w:rFonts w:ascii="Arial" w:hAnsi="Arial" w:eastAsia="Arial" w:cs="Arial"/>
        </w:rPr>
        <w:t>Ayat Lima hingga Sembilan</w:t>
      </w:r>
    </w:p>
    <w:p>
      <w:pPr>
        <w:pStyle w:val="ArticleBody"/>
        <w:jc w:val="left"/>
      </w:pPr>
      <w:r>
        <w:rPr>
          <w:rFonts w:ascii="Times New Roman" w:hAnsi="Times New Roman" w:eastAsia="Times New Roman" w:cs="Times New Roman"/>
        </w:rPr>
        <w:t>Путин ҳамчун шоҳи ҷануб Птолемейро инъикос мекунад, ки дар ҷанги Украина пирӯз хоҳад шуд ва ояти 11-ро ба анҷом мерасонад. Аз нигоҳи таърихӣ, пирӯзии Птолемеи IV Филопатор дар ҷанги Рафия ин оятро ба анҷом расонд ва муваффақияти наздики Путинро пешакӣ нишон дод. Оятҳои 5–9 таърихеро баён мекунанд, ки ҳукмронии 1,260-солаи папаро (538–1798) бо дақиқии муфассал пешнамоӣ мекунад. Ин ҷузъиёт борҳо дар гузашта баррасӣ шудаанд; бинобар ин, дар ин ҷо ман як аломати роҳнамои нубувватиро, ки дар оятҳои 5–9 ба анҷом расидааст ва дар давраи аз 538 то 1798 низ такрор ёфтааст, таъкид хоҳам кард.</w:t>
      </w:r>
    </w:p>
    <w:p>
      <w:pPr>
        <w:pStyle w:val="ArticleBody"/>
        <w:jc w:val="left"/>
      </w:pPr>
      <w:r>
        <w:rPr>
          <w:rFonts w:ascii="Times New Roman" w:hAnsi="Times New Roman" w:eastAsia="Times New Roman" w:cs="Times New Roman"/>
        </w:rPr>
        <w:t>Masa ini bermula dengan suatu perjanjian antara kerajaan Ptolemaik di selatan dengan kerajaan Seleukia di utara, yang dimeterai apabila raja selatan mengahwinkan puterinya dengan raja utara. Penyatuan ini memulakan suatu tempoh tujuh tahun yang berakhir apabila raja selatan menyerang utara, menawan raja utara lalu membawanya sebagai tawanan ke Mesir, dan raja yang ditawan itu kemudian mati setelah terjatuh dari seekor kuda.</w:t>
      </w:r>
    </w:p>
    <w:p>
      <w:pPr>
        <w:pStyle w:val="ArticleHeading"/>
        <w:jc w:val="left"/>
      </w:pPr>
      <w:r>
        <w:rPr>
          <w:rFonts w:ascii="Nirmala UI" w:hAnsi="Nirmala UI" w:eastAsia="Nirmala UI" w:cs="Nirmala UI"/>
        </w:rPr>
        <w:t>ᱢᱤᱫ</w:t>
      </w:r>
      <w:r>
        <w:rPr>
          <w:rFonts w:ascii="Arial" w:hAnsi="Arial" w:eastAsia="Arial" w:cs="Arial"/>
        </w:rPr>
        <w:t xml:space="preserve"> </w:t>
      </w:r>
      <w:r>
        <w:rPr>
          <w:rFonts w:ascii="Nirmala UI" w:hAnsi="Nirmala UI" w:eastAsia="Nirmala UI" w:cs="Nirmala UI"/>
        </w:rPr>
        <w:t>ᱵᱷᱟᱹᱝᱜᱟ</w:t>
      </w:r>
      <w:r>
        <w:rPr>
          <w:rFonts w:ascii="Arial" w:hAnsi="Arial" w:eastAsia="Arial" w:cs="Arial"/>
        </w:rPr>
        <w:t xml:space="preserve"> </w:t>
      </w:r>
      <w:r>
        <w:rPr>
          <w:rFonts w:ascii="Nirmala UI" w:hAnsi="Nirmala UI" w:eastAsia="Nirmala UI" w:cs="Nirmala UI"/>
        </w:rPr>
        <w:t>ᱥᱚᱢᱟᱹᱛᱟᱹ</w:t>
      </w:r>
    </w:p>
    <w:p>
      <w:pPr>
        <w:pStyle w:val="ArticleBody"/>
        <w:jc w:val="left"/>
      </w:pPr>
      <w:r>
        <w:rPr>
          <w:rFonts w:ascii="Times New Roman" w:hAnsi="Times New Roman" w:eastAsia="Times New Roman" w:cs="Times New Roman"/>
        </w:rPr>
        <w:t>Ho hlasela hoo ho ile ha bakoa ke selekane se robehileng. Ka mor’a hore nako ea lilemo tse supileng e qale, morena oa leboea o ile a behella ka thōko mosali oa hae oa pele e le hore a nyale khosatsana ea boroa le ho tiisa selekane seo. Hamorao, o ile a lahla mosali oa boroa ’me a khutlisetsa mofumahali oa hae oa pele boemong ba hae. Sena se ile sa susumelletsa mofumahali oa pele hore a bolaee mofumahali oa boroa le ba neng ba mo pota-potile, hoo ha halefisa lelapa la mofumahali oa boroa Egepeta.</w:t>
      </w:r>
    </w:p>
    <w:p>
      <w:pPr>
        <w:pStyle w:val="ArticleBody"/>
        <w:jc w:val="left"/>
      </w:pPr>
      <w:r>
        <w:rPr>
          <w:rFonts w:ascii="Times New Roman" w:hAnsi="Times New Roman" w:eastAsia="Times New Roman" w:cs="Times New Roman"/>
        </w:rPr>
        <w:t>Ka matego maram a hriatthiamna nen, kum sarih chu kum thum leh a chanve pahnihah a hmu theih a ni; he thil hi kraws hma lama kum thum leh a chanve leh kraws hnuaia kum thum leh a chanvein an entir a, chumi pahnih chuan Krista’n thuthlung a tihtlatna zarh khat chu an aiawh a ni. Kum thum leh a chanve chu Israel ram lalna hmarchhak lam chunga 723 BC atanga 1798 thlengin hremna “hun sarih” tih tihhlawhtlinnaah pawh a hriat a ni. Chu “hun sarih” chu kum sang khat leh za ruk sawm paruk ve ve hun hnihah sem a ni a, 538 chu a lailam hmun a ni. Hêng entirna, sarih chu kum thum leh a chanve hun hnihah sem a nihte hi thil awm mai, ngai loh va lo ni lovin, tumchung tak a ni.</w:t>
      </w:r>
    </w:p>
    <w:p>
      <w:pPr>
        <w:pStyle w:val="ArticleBody"/>
        <w:jc w:val="left"/>
      </w:pPr>
      <w:r>
        <w:rPr>
          <w:rFonts w:ascii="Times New Roman" w:hAnsi="Times New Roman" w:eastAsia="Times New Roman" w:cs="Times New Roman"/>
        </w:rPr>
        <w:t>Pada pembahagian dalam minggu itu, Kristus meneguhkan perjanjian itu; salib melambangkan pusatnya, dan dengan demikian salib itu menunjukkan Kristus mempersembahkan pekabaran itu secara peribadi selama tiga tahun setengah, diikuti oleh murid-murid-Nya yang mempersembahkan pekabaran yang sama untuk jangka masa yang sama. Dalam tujuh masa terhadap kerajaan utara, 538 membahagikan sejarah itu kepada suatu tempoh ketika paganisme menginjak-injak tempat kudus dan bala tentera, diikuti oleh kepausan yang menginjak-injak tempat kudus dan bala tentera untuk tempoh yang sama. Dalam perlambangan nubuatan, “tujuh” dilambangkan dengan tiga tahun setengah, yang seterusnya dilambangkan dengan empat puluh dua bulan, tiga hari setengah atau tahun, seribu dua ratus enam puluh, dua puluh lima dua puluh, dan satu masa, masa-masa, dan setengah masa. Dalam konteksnya, semua angka ini saling dapat dipertukarkan.</w:t>
      </w:r>
    </w:p>
    <w:p>
      <w:pPr>
        <w:pStyle w:val="ArticleBody"/>
        <w:jc w:val="left"/>
      </w:pPr>
      <w:r>
        <w:rPr>
          <w:rFonts w:ascii="Leelawadee UI" w:hAnsi="Leelawadee UI" w:eastAsia="Leelawadee UI" w:cs="Leelawadee UI"/>
        </w:rPr>
        <w:t>ឯកសារសន្ធិសញ្ញាដែលបានធ្វើឡើងរវាងអាណាចក្រប្តូលេមេយ៉ូស</w:t>
      </w:r>
      <w:r>
        <w:rPr>
          <w:rFonts w:ascii="Times New Roman" w:hAnsi="Times New Roman" w:eastAsia="Times New Roman" w:cs="Times New Roman"/>
        </w:rPr>
        <w:t xml:space="preserve"> </w:t>
      </w:r>
      <w:r>
        <w:rPr>
          <w:rFonts w:ascii="Leelawadee UI" w:hAnsi="Leelawadee UI" w:eastAsia="Leelawadee UI" w:cs="Leelawadee UI"/>
        </w:rPr>
        <w:t>ដែលគ្រប់គ្រងដោយពូជពង្សរបស់ប្តូលេមេយ៉ូសទី១</w:t>
      </w:r>
      <w:r>
        <w:rPr>
          <w:rFonts w:ascii="Times New Roman" w:hAnsi="Times New Roman" w:eastAsia="Times New Roman" w:cs="Times New Roman"/>
        </w:rPr>
        <w:t xml:space="preserve"> (</w:t>
      </w:r>
      <w:r>
        <w:rPr>
          <w:rFonts w:ascii="Leelawadee UI" w:hAnsi="Leelawadee UI" w:eastAsia="Leelawadee UI" w:cs="Leelawadee UI"/>
        </w:rPr>
        <w:t>មេទ័ពមួយរូបរបស់អាឡិចសាន់ឌ័រមហា</w:t>
      </w:r>
      <w:r>
        <w:rPr>
          <w:rFonts w:ascii="Times New Roman" w:hAnsi="Times New Roman" w:eastAsia="Times New Roman" w:cs="Times New Roman"/>
        </w:rPr>
        <w:t xml:space="preserve">) </w:t>
      </w:r>
      <w:r>
        <w:rPr>
          <w:rFonts w:ascii="Leelawadee UI" w:hAnsi="Leelawadee UI" w:eastAsia="Leelawadee UI" w:cs="Leelawadee UI"/>
        </w:rPr>
        <w:t>ដែលគ្រប់គ្រងប្រទេសអេស៊ីប</w:t>
      </w:r>
      <w:r>
        <w:rPr>
          <w:rFonts w:ascii="Times New Roman" w:hAnsi="Times New Roman" w:eastAsia="Times New Roman" w:cs="Times New Roman"/>
        </w:rPr>
        <w:t xml:space="preserve"> </w:t>
      </w:r>
      <w:r>
        <w:rPr>
          <w:rFonts w:ascii="Leelawadee UI" w:hAnsi="Leelawadee UI" w:eastAsia="Leelawadee UI" w:cs="Leelawadee UI"/>
        </w:rPr>
        <w:t>និងអាណាចក្រសេលេយូស៊ីដ</w:t>
      </w:r>
      <w:r>
        <w:rPr>
          <w:rFonts w:ascii="Times New Roman" w:hAnsi="Times New Roman" w:eastAsia="Times New Roman" w:cs="Times New Roman"/>
        </w:rPr>
        <w:t xml:space="preserve"> </w:t>
      </w:r>
      <w:r>
        <w:rPr>
          <w:rFonts w:ascii="Leelawadee UI" w:hAnsi="Leelawadee UI" w:eastAsia="Leelawadee UI" w:cs="Leelawadee UI"/>
        </w:rPr>
        <w:t>ដែលគ្រប់គ្រងដោយពូជពង្សរបស់សេលេយូកុសទី១</w:t>
      </w:r>
      <w:r>
        <w:rPr>
          <w:rFonts w:ascii="Times New Roman" w:hAnsi="Times New Roman" w:eastAsia="Times New Roman" w:cs="Times New Roman"/>
        </w:rPr>
        <w:t xml:space="preserve"> (</w:t>
      </w:r>
      <w:r>
        <w:rPr>
          <w:rFonts w:ascii="Leelawadee UI" w:hAnsi="Leelawadee UI" w:eastAsia="Leelawadee UI" w:cs="Leelawadee UI"/>
        </w:rPr>
        <w:t>មេទ័ពមួយរូបទៀតរបស់អាឡិចសាន់ឌ័រ</w:t>
      </w:r>
      <w:r>
        <w:rPr>
          <w:rFonts w:ascii="Times New Roman" w:hAnsi="Times New Roman" w:eastAsia="Times New Roman" w:cs="Times New Roman"/>
        </w:rPr>
        <w:t xml:space="preserve">) </w:t>
      </w:r>
      <w:r>
        <w:rPr>
          <w:rFonts w:ascii="Leelawadee UI" w:hAnsi="Leelawadee UI" w:eastAsia="Leelawadee UI" w:cs="Leelawadee UI"/>
        </w:rPr>
        <w:t>ដែលគ្រប់គ្រងភាគច្រើននៃមជ្ឈិមបូព៌ា</w:t>
      </w:r>
      <w:r>
        <w:rPr>
          <w:rFonts w:ascii="Times New Roman" w:hAnsi="Times New Roman" w:eastAsia="Times New Roman" w:cs="Times New Roman"/>
        </w:rPr>
        <w:t xml:space="preserve"> </w:t>
      </w:r>
      <w:r>
        <w:rPr>
          <w:rFonts w:ascii="Leelawadee UI" w:hAnsi="Leelawadee UI" w:eastAsia="Leelawadee UI" w:cs="Leelawadee UI"/>
        </w:rPr>
        <w:t>រួមទាំងស៊ីរី</w:t>
      </w:r>
      <w:r>
        <w:rPr>
          <w:rFonts w:ascii="Times New Roman" w:hAnsi="Times New Roman" w:eastAsia="Times New Roman" w:cs="Times New Roman"/>
        </w:rPr>
        <w:t xml:space="preserve"> </w:t>
      </w:r>
      <w:r>
        <w:rPr>
          <w:rFonts w:ascii="Leelawadee UI" w:hAnsi="Leelawadee UI" w:eastAsia="Leelawadee UI" w:cs="Leelawadee UI"/>
        </w:rPr>
        <w:t>បានបញ្ចប់សង្គ្រាមស៊ីរីលើកទី២</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253 </w:t>
      </w:r>
      <w:r>
        <w:rPr>
          <w:rFonts w:ascii="Leelawadee UI" w:hAnsi="Leelawadee UI" w:eastAsia="Leelawadee UI" w:cs="Leelawadee UI"/>
        </w:rPr>
        <w:t>មុនគ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សង្គ្រាមនោះបានចាប់ផ្ដើមកាលពីប្រាំពីរឆ្នាំមុន</w:t>
      </w:r>
      <w:r>
        <w:rPr>
          <w:rFonts w:ascii="Times New Roman" w:hAnsi="Times New Roman" w:eastAsia="Times New Roman" w:cs="Times New Roman"/>
        </w:rPr>
        <w:t xml:space="preserve"> </w:t>
      </w:r>
      <w:r>
        <w:rPr>
          <w:rFonts w:ascii="Leelawadee UI" w:hAnsi="Leelawadee UI" w:eastAsia="Leelawadee UI" w:cs="Leelawadee UI"/>
        </w:rPr>
        <w:t>គឺនៅឆ្នាំ</w:t>
      </w:r>
      <w:r>
        <w:rPr>
          <w:rFonts w:ascii="Times New Roman" w:hAnsi="Times New Roman" w:eastAsia="Times New Roman" w:cs="Times New Roman"/>
        </w:rPr>
        <w:t xml:space="preserve"> 260 </w:t>
      </w:r>
      <w:r>
        <w:rPr>
          <w:rFonts w:ascii="Leelawadee UI" w:hAnsi="Leelawadee UI" w:eastAsia="Leelawadee UI" w:cs="Leelawadee UI"/>
        </w:rPr>
        <w:t>មុនគ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ប្រាំពីរឆ្នាំបន្ទាប់ពីសន្ធិសញ្ញានោះត្រូវបានផ្តល់សច្ចាប័ន</w:t>
      </w:r>
      <w:r>
        <w:rPr>
          <w:rFonts w:ascii="Times New Roman" w:hAnsi="Times New Roman" w:eastAsia="Times New Roman" w:cs="Times New Roman"/>
        </w:rPr>
        <w:t xml:space="preserve"> </w:t>
      </w:r>
      <w:r>
        <w:rPr>
          <w:rFonts w:ascii="Leelawadee UI" w:hAnsi="Leelawadee UI" w:eastAsia="Leelawadee UI" w:cs="Leelawadee UI"/>
        </w:rPr>
        <w:t>វាត្រូវបានបំពាននៅឆ្នាំ</w:t>
      </w:r>
      <w:r>
        <w:rPr>
          <w:rFonts w:ascii="Times New Roman" w:hAnsi="Times New Roman" w:eastAsia="Times New Roman" w:cs="Times New Roman"/>
        </w:rPr>
        <w:t xml:space="preserve"> 246 </w:t>
      </w:r>
      <w:r>
        <w:rPr>
          <w:rFonts w:ascii="Leelawadee UI" w:hAnsi="Leelawadee UI" w:eastAsia="Leelawadee UI" w:cs="Leelawadee UI"/>
        </w:rPr>
        <w:t>មុនគ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ដប់បួនឆ្នាំ</w:t>
      </w:r>
      <w:r>
        <w:rPr>
          <w:rFonts w:ascii="Times New Roman" w:hAnsi="Times New Roman" w:eastAsia="Times New Roman" w:cs="Times New Roman"/>
        </w:rPr>
        <w:t xml:space="preserve"> </w:t>
      </w:r>
      <w:r>
        <w:rPr>
          <w:rFonts w:ascii="Leelawadee UI" w:hAnsi="Leelawadee UI" w:eastAsia="Leelawadee UI" w:cs="Leelawadee UI"/>
        </w:rPr>
        <w:t>ដែលបែងចែកជាពីររយៈពេលនៃប្រាំពីរឆ្នាំ។</w:t>
      </w:r>
      <w:r>
        <w:rPr>
          <w:rFonts w:ascii="Times New Roman" w:hAnsi="Times New Roman" w:eastAsia="Times New Roman" w:cs="Times New Roman"/>
        </w:rPr>
        <w:t xml:space="preserve"> </w:t>
      </w:r>
      <w:r>
        <w:rPr>
          <w:rFonts w:ascii="Leelawadee UI" w:hAnsi="Leelawadee UI" w:eastAsia="Leelawadee UI" w:cs="Leelawadee UI"/>
        </w:rPr>
        <w:t>ពាក់កណ្ដាលទីមួយជាសង្គ្រាម</w:t>
      </w:r>
      <w:r>
        <w:rPr>
          <w:rFonts w:ascii="Times New Roman" w:hAnsi="Times New Roman" w:eastAsia="Times New Roman" w:cs="Times New Roman"/>
        </w:rPr>
        <w:t xml:space="preserve"> </w:t>
      </w:r>
      <w:r>
        <w:rPr>
          <w:rFonts w:ascii="Leelawadee UI" w:hAnsi="Leelawadee UI" w:eastAsia="Leelawadee UI" w:cs="Leelawadee UI"/>
        </w:rPr>
        <w:t>ហើយពាក់កណ្ដាលទីពីរជាសន្តិភាព។</w:t>
      </w:r>
      <w:r>
        <w:rPr>
          <w:rFonts w:ascii="Times New Roman" w:hAnsi="Times New Roman" w:eastAsia="Times New Roman" w:cs="Times New Roman"/>
        </w:rPr>
        <w:t xml:space="preserve"> </w:t>
      </w:r>
      <w:r>
        <w:rPr>
          <w:rFonts w:ascii="Leelawadee UI" w:hAnsi="Leelawadee UI" w:eastAsia="Leelawadee UI" w:cs="Leelawadee UI"/>
        </w:rPr>
        <w:t>រយៈពេលដប់បួនឆ្នាំនោះចាប់ផ្ដើមដោយសង្គ្រាមស៊ីរីលើកទី២</w:t>
      </w:r>
      <w:r>
        <w:rPr>
          <w:rFonts w:ascii="Times New Roman" w:hAnsi="Times New Roman" w:eastAsia="Times New Roman" w:cs="Times New Roman"/>
        </w:rPr>
        <w:t xml:space="preserve"> </w:t>
      </w:r>
      <w:r>
        <w:rPr>
          <w:rFonts w:ascii="Leelawadee UI" w:hAnsi="Leelawadee UI" w:eastAsia="Leelawadee UI" w:cs="Leelawadee UI"/>
        </w:rPr>
        <w:t>ហើយបញ្ចប់ដោយសង្គ្រាមស៊ីរីលើកទី៣។</w:t>
      </w:r>
      <w:r>
        <w:rPr>
          <w:rFonts w:ascii="Times New Roman" w:hAnsi="Times New Roman" w:eastAsia="Times New Roman" w:cs="Times New Roman"/>
        </w:rPr>
        <w:t xml:space="preserve"> </w:t>
      </w:r>
      <w:r>
        <w:rPr>
          <w:rFonts w:ascii="Leelawadee UI" w:hAnsi="Leelawadee UI" w:eastAsia="Leelawadee UI" w:cs="Leelawadee UI"/>
        </w:rPr>
        <w:t>លំនាំសមមាត្របែបនេះនៅក្នុងប្រវត្តិសាស្ត្រ</w:t>
      </w:r>
      <w:r>
        <w:rPr>
          <w:rFonts w:ascii="Times New Roman" w:hAnsi="Times New Roman" w:eastAsia="Times New Roman" w:cs="Times New Roman"/>
        </w:rPr>
        <w:t xml:space="preserve"> </w:t>
      </w:r>
      <w:r>
        <w:rPr>
          <w:rFonts w:ascii="Leelawadee UI" w:hAnsi="Leelawadee UI" w:eastAsia="Leelawadee UI" w:cs="Leelawadee UI"/>
        </w:rPr>
        <w:t>ត្រូវបានបន្លិចឲ្យកាន់តែច្បាស់</w:t>
      </w:r>
      <w:r>
        <w:rPr>
          <w:rFonts w:ascii="Times New Roman" w:hAnsi="Times New Roman" w:eastAsia="Times New Roman" w:cs="Times New Roman"/>
        </w:rPr>
        <w:t xml:space="preserve"> </w:t>
      </w:r>
      <w:r>
        <w:rPr>
          <w:rFonts w:ascii="Leelawadee UI" w:hAnsi="Leelawadee UI" w:eastAsia="Leelawadee UI" w:cs="Leelawadee UI"/>
        </w:rPr>
        <w:t>នៅពេលអ្នកទទួលស្គាល់ថា</w:t>
      </w:r>
      <w:r>
        <w:rPr>
          <w:rFonts w:ascii="Times New Roman" w:hAnsi="Times New Roman" w:eastAsia="Times New Roman" w:cs="Times New Roman"/>
        </w:rPr>
        <w:t xml:space="preserve"> </w:t>
      </w:r>
      <w:r>
        <w:rPr>
          <w:rFonts w:ascii="Leelawadee UI" w:hAnsi="Leelawadee UI" w:eastAsia="Leelawadee UI" w:cs="Leelawadee UI"/>
        </w:rPr>
        <w:t>ប្រវត្តិសាស្ត្រនេះត្រូវបានតំណាងនៅក្នុងខទី៥</w:t>
      </w:r>
      <w:r>
        <w:rPr>
          <w:rFonts w:ascii="Times New Roman" w:hAnsi="Times New Roman" w:eastAsia="Times New Roman" w:cs="Times New Roman"/>
        </w:rPr>
        <w:t xml:space="preserve"> </w:t>
      </w:r>
      <w:r>
        <w:rPr>
          <w:rFonts w:ascii="Leelawadee UI" w:hAnsi="Leelawadee UI" w:eastAsia="Leelawadee UI" w:cs="Leelawadee UI"/>
        </w:rPr>
        <w:t>ដល់ខទី៩</w:t>
      </w:r>
      <w:r>
        <w:rPr>
          <w:rFonts w:ascii="Times New Roman" w:hAnsi="Times New Roman" w:eastAsia="Times New Roman" w:cs="Times New Roman"/>
        </w:rPr>
        <w:t xml:space="preserve"> </w:t>
      </w:r>
      <w:r>
        <w:rPr>
          <w:rFonts w:ascii="Leelawadee UI" w:hAnsi="Leelawadee UI" w:eastAsia="Leelawadee UI" w:cs="Leelawadee UI"/>
        </w:rPr>
        <w:t>នៃជំពូកទី១១។</w:t>
      </w:r>
      <w:r>
        <w:rPr>
          <w:rFonts w:ascii="Times New Roman" w:hAnsi="Times New Roman" w:eastAsia="Times New Roman" w:cs="Times New Roman"/>
        </w:rPr>
        <w:t xml:space="preserve"> </w:t>
      </w:r>
      <w:r>
        <w:rPr>
          <w:rFonts w:ascii="Leelawadee UI" w:hAnsi="Leelawadee UI" w:eastAsia="Leelawadee UI" w:cs="Leelawadee UI"/>
        </w:rPr>
        <w:t>សន្ធិសញ្ញា</w:t>
      </w:r>
      <w:r>
        <w:rPr>
          <w:rFonts w:ascii="Times New Roman" w:hAnsi="Times New Roman" w:eastAsia="Times New Roman" w:cs="Times New Roman"/>
        </w:rPr>
        <w:t xml:space="preserve"> </w:t>
      </w:r>
      <w:r>
        <w:rPr>
          <w:rFonts w:ascii="Leelawadee UI" w:hAnsi="Leelawadee UI" w:eastAsia="Leelawadee UI" w:cs="Leelawadee UI"/>
        </w:rPr>
        <w:t>និងការបំពានសន្ធិសញ្ញានោះ</w:t>
      </w:r>
      <w:r>
        <w:rPr>
          <w:rFonts w:ascii="Times New Roman" w:hAnsi="Times New Roman" w:eastAsia="Times New Roman" w:cs="Times New Roman"/>
        </w:rPr>
        <w:t xml:space="preserve"> </w:t>
      </w:r>
      <w:r>
        <w:rPr>
          <w:rFonts w:ascii="Leelawadee UI" w:hAnsi="Leelawadee UI" w:eastAsia="Leelawadee UI" w:cs="Leelawadee UI"/>
        </w:rPr>
        <w:t>គឺជាចំណុចផ្ដោតនៃខទាំងនោះ</w:t>
      </w:r>
      <w:r>
        <w:rPr>
          <w:rFonts w:ascii="Times New Roman" w:hAnsi="Times New Roman" w:eastAsia="Times New Roman" w:cs="Times New Roman"/>
        </w:rPr>
        <w:t xml:space="preserve"> </w:t>
      </w:r>
      <w:r>
        <w:rPr>
          <w:rFonts w:ascii="Leelawadee UI" w:hAnsi="Leelawadee UI" w:eastAsia="Leelawadee UI" w:cs="Leelawadee UI"/>
        </w:rPr>
        <w:t>និងនៃប្រវត្តិសាស្ត្រដែលបានបំពេញខទាំងនោះ។</w:t>
      </w:r>
    </w:p>
    <w:p>
      <w:pPr>
        <w:pStyle w:val="ArticleBody"/>
        <w:jc w:val="left"/>
      </w:pPr>
      <w:r>
        <w:rPr>
          <w:rFonts w:ascii="Times New Roman" w:hAnsi="Times New Roman" w:eastAsia="Times New Roman" w:cs="Times New Roman"/>
        </w:rPr>
        <w:t>Ia selaras dengan penguasaan kepausan dari tahun 538 hingga 1798. Menjelang akhir zaman itu, Napoleon Bonaparte mengikat suatu perjanjian dengan Vatikan. Dengan merujuk kepada pelanggaran Vatikan terhadap Perjanjian Tolentino 1797, Napoleon mengutus Jeneral Berthier pada tahun 1798 untuk menawan paus. Paus itu mangkat di Perancis pada tahun 1799. Tempoh 1,260 tahun ini diperincikan dalam ayat 31–39.</w:t>
      </w:r>
    </w:p>
    <w:p>
      <w:pPr>
        <w:pStyle w:val="ArticleBody"/>
        <w:jc w:val="left"/>
      </w:pPr>
      <w:r>
        <w:rPr>
          <w:rFonts w:ascii="Times New Roman" w:hAnsi="Times New Roman" w:eastAsia="Times New Roman" w:cs="Times New Roman"/>
        </w:rPr>
        <w:t>Moagi wa ditemana 5–9 o tsamaisana le wa ditemana 31–39, o fana ka dipaki tše pedi ka gare ga Daniele 11. Methalo ka bobedi e abelana dipontšho tše swanago tša boporofeta, e utolla mekgwa ya tirisano magareng ga dikgoši tša borwa le tša leboa. Nako e nngwe le e nngwe e emetšwe ka nywaga e meraro le seripa, e fela ka ge kgoši ya borwa e fenya, e hapa kgoši ya leboa, gomme e mo iša nageng ya borwa, moo dikgoši ka bobedi tša leboa di hwago gona. Mabakeng ka bobedi, bjalo ka ge sengwalwa se bolela, kgoši ya borwa e boa le thopo:</w:t>
      </w:r>
    </w:p>
    <w:p>
      <w:pPr>
        <w:pStyle w:val="ArticleScripture"/>
        <w:jc w:val="left"/>
      </w:pPr>
      <w:r>
        <w:rPr>
          <w:rFonts w:ascii="Nirmala UI" w:hAnsi="Nirmala UI" w:eastAsia="Nirmala UI" w:cs="Nirmala UI"/>
        </w:rPr>
        <w:t>බබිලෝනියෙන්</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රාජකුමාරයන්</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රිදී</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රන්</w:t>
      </w:r>
      <w:r>
        <w:rPr>
          <w:rFonts w:ascii="Times New Roman" w:hAnsi="Times New Roman" w:eastAsia="Times New Roman" w:cs="Times New Roman"/>
        </w:rPr>
        <w:t xml:space="preserve"> </w:t>
      </w:r>
      <w:r>
        <w:rPr>
          <w:rFonts w:ascii="Nirmala UI" w:hAnsi="Nirmala UI" w:eastAsia="Nirmala UI" w:cs="Nirmala UI"/>
        </w:rPr>
        <w:t>වලින්</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අගනා</w:t>
      </w:r>
      <w:r>
        <w:rPr>
          <w:rFonts w:ascii="Times New Roman" w:hAnsi="Times New Roman" w:eastAsia="Times New Roman" w:cs="Times New Roman"/>
        </w:rPr>
        <w:t xml:space="preserve"> </w:t>
      </w:r>
      <w:r>
        <w:rPr>
          <w:rFonts w:ascii="Nirmala UI" w:hAnsi="Nirmala UI" w:eastAsia="Nirmala UI" w:cs="Nirmala UI"/>
        </w:rPr>
        <w:t>භාජන</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අස්වැන්නට</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යන්නේය</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උතුරු</w:t>
      </w:r>
      <w:r>
        <w:rPr>
          <w:rFonts w:ascii="Times New Roman" w:hAnsi="Times New Roman" w:eastAsia="Times New Roman" w:cs="Times New Roman"/>
        </w:rPr>
        <w:t xml:space="preserve"> </w:t>
      </w:r>
      <w:r>
        <w:rPr>
          <w:rFonts w:ascii="Nirmala UI" w:hAnsi="Nirmala UI" w:eastAsia="Nirmala UI" w:cs="Nirmala UI"/>
        </w:rPr>
        <w:t>රජට</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w:t>
      </w:r>
      <w:r>
        <w:rPr>
          <w:rFonts w:ascii="Nirmala UI" w:hAnsi="Nirmala UI" w:eastAsia="Nirmala UI" w:cs="Nirmala UI"/>
        </w:rPr>
        <w:t>ගණනක්</w:t>
      </w:r>
      <w:r>
        <w:rPr>
          <w:rFonts w:ascii="Times New Roman" w:hAnsi="Times New Roman" w:eastAsia="Times New Roman" w:cs="Times New Roman"/>
        </w:rPr>
        <w:t xml:space="preserve"> </w:t>
      </w:r>
      <w:r>
        <w:rPr>
          <w:rFonts w:ascii="Nirmala UI" w:hAnsi="Nirmala UI" w:eastAsia="Nirmala UI" w:cs="Nirmala UI"/>
        </w:rPr>
        <w:t>පවතින්නේය</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11:8.</w:t>
      </w:r>
    </w:p>
    <w:p>
      <w:pPr>
        <w:pStyle w:val="ArticleBody"/>
        <w:jc w:val="left"/>
      </w:pPr>
      <w:r>
        <w:rPr>
          <w:rFonts w:ascii="Times New Roman" w:hAnsi="Times New Roman" w:eastAsia="Times New Roman" w:cs="Times New Roman"/>
        </w:rPr>
        <w:t>KuPtolemy, lokhu kwakuyingcebo eyayikade iphangwe yinkosi yasenyakatho; kuNapoleon, kwakuyingcebo yeVatican eyaphangwa yasiwa eFrance. Le migqa emibili yobufakazi ibonisa ukuthi ukufa kwenkosi yasenyakatho kufanekiselwa ukuwa ehhashini. KusAmbulo 17, owesifazane ogibele isilo umele iBandla lamaKatolika:</w:t>
      </w:r>
    </w:p>
    <w:p>
      <w:pPr>
        <w:pStyle w:val="ArticleScripture"/>
        <w:jc w:val="left"/>
      </w:pPr>
      <w:r>
        <w:rPr>
          <w:rFonts w:ascii="Times New Roman" w:hAnsi="Times New Roman" w:eastAsia="Times New Roman" w:cs="Times New Roman"/>
        </w:rPr>
        <w:t>Jadi ia membawa aku di dalam roh ke padang gurun: lalu aku melihat seorang perempuan duduk di atas seekor binatang yang berwarna merah tua, penuh dengan nama-nama hujat, mempunyai tujuh kepala dan sepuluh tanduk. Wahyu 17:3.</w:t>
      </w:r>
    </w:p>
    <w:p>
      <w:pPr>
        <w:pStyle w:val="ArticleBody"/>
        <w:jc w:val="left"/>
      </w:pPr>
      <w:r>
        <w:rPr>
          <w:rFonts w:ascii="Times New Roman" w:hAnsi="Times New Roman" w:eastAsia="Times New Roman" w:cs="Times New Roman"/>
        </w:rPr>
        <w:t>Isilo asigibelayo yi-United Nations. ISambulo 17 sichaza ukubuyiselwa kwaso emandleni emva kwesilonda esibulalayo sango-1798. Njengombuso wesibhozo, siphinde siqalise ukubusa kwaso, okufanekiselwa ngokugibela isilo:</w:t>
      </w:r>
    </w:p>
    <w:p>
      <w:pPr>
        <w:pStyle w:val="ArticleScripture"/>
        <w:jc w:val="left"/>
      </w:pPr>
      <w:r>
        <w:rPr>
          <w:rFonts w:ascii="Times New Roman" w:hAnsi="Times New Roman" w:eastAsia="Times New Roman" w:cs="Times New Roman"/>
        </w:rPr>
        <w:t>Mme mosadi yo o mmonego ke motse o mogolo, o bušago dikgoši tša lefase. Kutollo 17:18.</w:t>
      </w:r>
    </w:p>
    <w:p>
      <w:pPr>
        <w:pStyle w:val="ArticleBody"/>
        <w:jc w:val="left"/>
      </w:pPr>
      <w:r>
        <w:rPr>
          <w:rFonts w:ascii="Times New Roman" w:hAnsi="Times New Roman" w:eastAsia="Times New Roman" w:cs="Times New Roman"/>
        </w:rPr>
        <w:t>Ibala elibulalayo lonyaka we-1798 lalifanekiselwa ngaphambili emavesini 5–9 lapho inkosi yasenyakatho yawa ehhashini yafa. Le migqa emibili kuDaniyeli 11 ihambisana ngokufanayo namavesi 41–45. Umthetho weSonto e-United States of America, ophawulwe evesini 41, uqala ukugibela kokugcina kobupapa phezu kwesilo—inkathi evezwa kule migqa emibili. Lapho u-Ellen White ephawula ukuthi “ingxenye enkulu yomlando” egcwalisekile kuDaniyeli 11 “iyophindwa,” amavesi 5–9 no-31–39 ahambisana namavesi 41–45.</w:t>
      </w:r>
    </w:p>
    <w:p>
      <w:pPr>
        <w:pStyle w:val="ArticleHeading"/>
        <w:jc w:val="left"/>
      </w:pPr>
      <w:r>
        <w:rPr>
          <w:rFonts w:ascii="Arial" w:hAnsi="Arial" w:eastAsia="Arial" w:cs="Arial"/>
        </w:rPr>
        <w:t>Nur Ayat Empat Puluh</w:t>
      </w:r>
    </w:p>
    <w:p>
      <w:pPr>
        <w:pStyle w:val="ArticleBody"/>
        <w:jc w:val="left"/>
      </w:pPr>
      <w:r>
        <w:rPr>
          <w:rFonts w:ascii="Times New Roman" w:hAnsi="Times New Roman" w:eastAsia="Times New Roman" w:cs="Times New Roman"/>
        </w:rPr>
        <w:t>Dari ayat 31 hingga 45, hanya ayat 40 yang berada di luar tempoh nubuatan tiga setengah hari itu. Ayat ini melambangkan suatu sejarah yang tersendiri dalam sepertiga terakhir daripada 45 ayat Daniel. Dalam ayat 16, sejarah Rom Empayar kafir terungkap melalui empat pemerintah—Pompey, Julius Caesar, Augustus Caesar, dan Tiberius Caesar. Kemenangan Augustus dalam Pertempuran Actium pada tahun 31 SM memulakan pemerintahan 360 tahun Rom Empayar, dengan demikian menggenapi “masa” dalam ayat 24:</w:t>
      </w:r>
    </w:p>
    <w:p>
      <w:pPr>
        <w:pStyle w:val="ArticleScripture"/>
        <w:jc w:val="left"/>
      </w:pPr>
      <w:r>
        <w:rPr>
          <w:rFonts w:ascii="Times New Roman" w:hAnsi="Times New Roman" w:eastAsia="Times New Roman" w:cs="Times New Roman"/>
        </w:rPr>
        <w:t>ئۇلارنىڭ يۇقىرى باي ۋە مۇنبەت جايلىرىغىچە تىنچ ھالدا كىرىدۇ؛ ئۇنىڭ ئاتىلىرىمۇ، ئاتىلىرىنىڭ ئاتىلىرىمۇ قىلمىغان ئىشنى ئۇ قىلىدۇ؛ ئۇ ئولجىنى، تالان-تاراجنى ۋە بايلىقلارنى ئۇلارنىڭ ئارىسىدا تارقىتىدۇ؛ ھەقىقەتەن، ئۇ مۇستەھكەم قەلئەلەرگە قارشى ئۆز ھىيلە-تەدبىرلىرىنى بىر مەزگىلگىچە قوللىنىدۇ. دانيال 11:24.</w:t>
      </w:r>
    </w:p>
    <w:p>
      <w:pPr>
        <w:pStyle w:val="ArticleBody"/>
        <w:jc w:val="left"/>
      </w:pPr>
      <w:r>
        <w:rPr>
          <w:rFonts w:ascii="Times New Roman" w:hAnsi="Times New Roman" w:eastAsia="Times New Roman" w:cs="Times New Roman"/>
        </w:rPr>
        <w:t>Selepas Actium, Roma menjadikan Mesir suatu wilayah pada tahun 30 SM. Tiga ratus enam puluh tahun kemudian, pada tahun 330, Konstantinus memindahkan ibu kota kekaisaran itu dari Roma ke Konstantinopel. “Masa” ini selaras secara nubuatan dengan 1.260 tahun pemerintahan kepausan dan 7 tahun dalam ayat 5–9.</w:t>
      </w:r>
    </w:p>
    <w:p>
      <w:pPr>
        <w:pStyle w:val="ArticleBody"/>
        <w:jc w:val="left"/>
      </w:pPr>
      <w:r>
        <w:rPr>
          <w:rFonts w:ascii="Times New Roman" w:hAnsi="Times New Roman" w:eastAsia="Times New Roman" w:cs="Times New Roman"/>
        </w:rPr>
        <w:t>Dari ayat 16, Roma Kekaisaran kafir berkuasa hingga ayat 30, mencakup persekutuan orang-orang Makabe dengan Roma dan garis keturunan Kristus. Namun demikian, ayat-ayat 16–30 sejajar dengan ayat-ayat 31–39 dan 41–45. Dengan demikian, dalam 30 ayat terakhir Daniel 11, tampak suatu garis nubuat yang konsisten—kecuali pada ayat 40, di mana “waktu kesudahan” ditandai pada tahun 1798 dan 1989.</w:t>
      </w:r>
    </w:p>
    <w:p>
      <w:pPr>
        <w:pStyle w:val="ArticleBody"/>
        <w:jc w:val="left"/>
      </w:pPr>
      <w:r>
        <w:rPr>
          <w:rFonts w:ascii="Times New Roman" w:hAnsi="Times New Roman" w:eastAsia="Times New Roman" w:cs="Times New Roman"/>
        </w:rPr>
        <w:t>Kecuali beberapa pengecualian kecil dalam ayat 2 dan 3—di mana yang terakhir dari delapan presiden beralih untuk menguasai sepuluh raja Perserikatan Bangsa-Bangsa—dua ayat pertama selaras dengan ayat 40, yang melambangkan undang-undang hari Minggu dan peralihan dari kerajaan keenam kepada kerajaan ketujuh dan kedelapan. Ayat 3 dan 4 selaras dengan ayat 45 dan Daniel 12:1, yang menggambarkan bangkit dan jatuhnya kerajaan Yunani, sejajar dengan pendirian dan kehancuran kepausan dalam ayat 41 hingga Daniel 12:1. Baik perempuan itu maupun binatang yang ditungganginya berakhir tanpa pertolongan, membingkai awal dan akhir Daniel 11 di luar sejarah ayat 40. Aleksander Agung melambangkan Perserikatan Bangsa-Bangsa, yang berzinah dengan pelacur Tirus (raja utara mulai dari ayat 41 dan seterusnya), yang keduanya adalah binatang itu dan naga itu.</w:t>
      </w:r>
    </w:p>
    <w:p>
      <w:pPr>
        <w:pStyle w:val="ArticleHeading"/>
        <w:jc w:val="left"/>
      </w:pPr>
      <w:r>
        <w:rPr>
          <w:rFonts w:ascii="Microsoft Himalaya" w:hAnsi="Microsoft Himalaya" w:eastAsia="Microsoft Himalaya" w:cs="Microsoft Himalaya"/>
        </w:rPr>
        <w:t>ཚན་ཚིག་དགུ་པ་དང་བཅུ་པ།</w:t>
      </w:r>
    </w:p>
    <w:p>
      <w:pPr>
        <w:pStyle w:val="ArticleBody"/>
        <w:jc w:val="left"/>
      </w:pPr>
      <w:r>
        <w:rPr>
          <w:rFonts w:ascii="Times New Roman" w:hAnsi="Times New Roman" w:eastAsia="Times New Roman" w:cs="Times New Roman"/>
        </w:rPr>
        <w:t>Ayat 5–9 berakhir pada waktu akhir, yaitu pada tahun 1798, sedangkan ayat 10 menandai tahun 1989. Dengan demikian, rentang antara ayat 9 dan 10—dari 1798 hingga 1989—mewakili bagian yang disingkapkan dari ayat 40, yang memulai sejarahnya yang tersembunyi. Untuk memperjelas: hampir setiap ayat dalam Daniel 11 mencerminkan pemerintahan kepausan dari tahun 538 hingga 1798. Ayat 40 mencakup periode dari 1798 hingga hukum hari Minggu di Amerika Serikat. Ayat 6–9 melambangkan era kepausan, sedangkan ayat 10 membayangkan kejatuhan Uni Soviet pada tahun 1989. Oleh karena itu, ayat 11–15 mencakup rentang dari 1989 hingga hukum hari Minggu, sebagaimana digambarkan dalam ayat 16, 31, dan 41.</w:t>
      </w:r>
    </w:p>
    <w:p>
      <w:pPr>
        <w:pStyle w:val="ArticleBody"/>
        <w:jc w:val="left"/>
      </w:pPr>
      <w:r>
        <w:rPr>
          <w:rFonts w:ascii="Leelawadee UI" w:hAnsi="Leelawadee UI" w:eastAsia="Leelawadee UI" w:cs="Leelawadee UI"/>
        </w:rPr>
        <w:t>ឃ្លា</w:t>
      </w:r>
      <w:r>
        <w:rPr>
          <w:rFonts w:ascii="Times New Roman" w:hAnsi="Times New Roman" w:eastAsia="Times New Roman" w:cs="Times New Roman"/>
        </w:rPr>
        <w:t xml:space="preserve"> </w:t>
      </w:r>
      <w:r>
        <w:rPr>
          <w:rFonts w:ascii="Leelawadee UI" w:hAnsi="Leelawadee UI" w:eastAsia="Leelawadee UI" w:cs="Leelawadee UI"/>
        </w:rPr>
        <w:t>៤០</w:t>
      </w:r>
      <w:r>
        <w:rPr>
          <w:rFonts w:ascii="Times New Roman" w:hAnsi="Times New Roman" w:eastAsia="Times New Roman" w:cs="Times New Roman"/>
        </w:rPr>
        <w:t xml:space="preserve"> </w:t>
      </w:r>
      <w:r>
        <w:rPr>
          <w:rFonts w:ascii="Leelawadee UI" w:hAnsi="Leelawadee UI" w:eastAsia="Leelawadee UI" w:cs="Leelawadee UI"/>
        </w:rPr>
        <w:t>ត្រូវបានបែងចែកជាពីរផ្នែក។</w:t>
      </w:r>
      <w:r>
        <w:rPr>
          <w:rFonts w:ascii="Times New Roman" w:hAnsi="Times New Roman" w:eastAsia="Times New Roman" w:cs="Times New Roman"/>
        </w:rPr>
        <w:t xml:space="preserve"> </w:t>
      </w:r>
      <w:r>
        <w:rPr>
          <w:rFonts w:ascii="Leelawadee UI" w:hAnsi="Leelawadee UI" w:eastAsia="Leelawadee UI" w:cs="Leelawadee UI"/>
        </w:rPr>
        <w:t>ផ្នែកទីមួយ</w:t>
      </w:r>
      <w:r>
        <w:rPr>
          <w:rFonts w:ascii="Times New Roman" w:hAnsi="Times New Roman" w:eastAsia="Times New Roman" w:cs="Times New Roman"/>
        </w:rPr>
        <w:t xml:space="preserve"> </w:t>
      </w:r>
      <w:r>
        <w:rPr>
          <w:rFonts w:ascii="Leelawadee UI" w:hAnsi="Leelawadee UI" w:eastAsia="Leelawadee UI" w:cs="Leelawadee UI"/>
        </w:rPr>
        <w:t>ចាប់ពីឆ្នាំ</w:t>
      </w:r>
      <w:r>
        <w:rPr>
          <w:rFonts w:ascii="Times New Roman" w:hAnsi="Times New Roman" w:eastAsia="Times New Roman" w:cs="Times New Roman"/>
        </w:rPr>
        <w:t xml:space="preserve"> </w:t>
      </w:r>
      <w:r>
        <w:rPr>
          <w:rFonts w:ascii="Leelawadee UI" w:hAnsi="Leelawadee UI" w:eastAsia="Leelawadee UI" w:cs="Leelawadee UI"/>
        </w:rPr>
        <w:t>១៧៩៨</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១៩៨៩</w:t>
      </w:r>
      <w:r>
        <w:rPr>
          <w:rFonts w:ascii="Times New Roman" w:hAnsi="Times New Roman" w:eastAsia="Times New Roman" w:cs="Times New Roman"/>
        </w:rPr>
        <w:t xml:space="preserve"> </w:t>
      </w:r>
      <w:r>
        <w:rPr>
          <w:rFonts w:ascii="Leelawadee UI" w:hAnsi="Leelawadee UI" w:eastAsia="Leelawadee UI" w:cs="Leelawadee UI"/>
        </w:rPr>
        <w:t>ចាប់ផ្តើម</w:t>
      </w:r>
      <w:r>
        <w:rPr>
          <w:rFonts w:ascii="Times New Roman" w:hAnsi="Times New Roman" w:eastAsia="Times New Roman" w:cs="Times New Roman"/>
        </w:rPr>
        <w:t xml:space="preserve"> </w:t>
      </w:r>
      <w:r>
        <w:rPr>
          <w:rFonts w:ascii="Leelawadee UI" w:hAnsi="Leelawadee UI" w:eastAsia="Leelawadee UI" w:cs="Leelawadee UI"/>
        </w:rPr>
        <w:t>និងបញ្ចប់ដោយ</w:t>
      </w:r>
      <w:r>
        <w:rPr>
          <w:rFonts w:ascii="Times New Roman" w:hAnsi="Times New Roman" w:eastAsia="Times New Roman" w:cs="Times New Roman"/>
        </w:rPr>
        <w:t xml:space="preserve"> «</w:t>
      </w:r>
      <w:r>
        <w:rPr>
          <w:rFonts w:ascii="Leelawadee UI" w:hAnsi="Leelawadee UI" w:eastAsia="Leelawadee UI" w:cs="Leelawadee UI"/>
        </w:rPr>
        <w:t>ពេលវេលានៃចុងបញ្ចប់</w:t>
      </w:r>
      <w:r>
        <w:rPr>
          <w:rFonts w:ascii="Times New Roman" w:hAnsi="Times New Roman" w:eastAsia="Times New Roman" w:cs="Times New Roman"/>
        </w:rPr>
        <w:t xml:space="preserve">» </w:t>
      </w:r>
      <w:r>
        <w:rPr>
          <w:rFonts w:ascii="Leelawadee UI" w:hAnsi="Leelawadee UI" w:eastAsia="Leelawadee UI" w:cs="Leelawadee UI"/>
        </w:rPr>
        <w:t>មួយ។</w:t>
      </w:r>
      <w:r>
        <w:rPr>
          <w:rFonts w:ascii="Times New Roman" w:hAnsi="Times New Roman" w:eastAsia="Times New Roman" w:cs="Times New Roman"/>
        </w:rPr>
        <w:t xml:space="preserve"> </w:t>
      </w:r>
      <w:r>
        <w:rPr>
          <w:rFonts w:ascii="Leelawadee UI" w:hAnsi="Leelawadee UI" w:eastAsia="Leelawadee UI" w:cs="Leelawadee UI"/>
        </w:rPr>
        <w:t>ពាក់កណ្តាលទីពីរចាប់ផ្តើមនៅឆ្នាំ</w:t>
      </w:r>
      <w:r>
        <w:rPr>
          <w:rFonts w:ascii="Times New Roman" w:hAnsi="Times New Roman" w:eastAsia="Times New Roman" w:cs="Times New Roman"/>
        </w:rPr>
        <w:t xml:space="preserve"> </w:t>
      </w:r>
      <w:r>
        <w:rPr>
          <w:rFonts w:ascii="Leelawadee UI" w:hAnsi="Leelawadee UI" w:eastAsia="Leelawadee UI" w:cs="Leelawadee UI"/>
        </w:rPr>
        <w:t>១៩៨៩</w:t>
      </w:r>
      <w:r>
        <w:rPr>
          <w:rFonts w:ascii="Times New Roman" w:hAnsi="Times New Roman" w:eastAsia="Times New Roman" w:cs="Times New Roman"/>
        </w:rPr>
        <w:t xml:space="preserve"> </w:t>
      </w:r>
      <w:r>
        <w:rPr>
          <w:rFonts w:ascii="Leelawadee UI" w:hAnsi="Leelawadee UI" w:eastAsia="Leelawadee UI" w:cs="Leelawadee UI"/>
        </w:rPr>
        <w:t>ដែលជាកន្លែងដែលពាក់កណ្តាលទីមួយបញ្ចប់។</w:t>
      </w:r>
      <w:r>
        <w:rPr>
          <w:rFonts w:ascii="Times New Roman" w:hAnsi="Times New Roman" w:eastAsia="Times New Roman" w:cs="Times New Roman"/>
        </w:rPr>
        <w:t xml:space="preserve"> </w:t>
      </w:r>
      <w:r>
        <w:rPr>
          <w:rFonts w:ascii="Leelawadee UI" w:hAnsi="Leelawadee UI" w:eastAsia="Leelawadee UI" w:cs="Leelawadee UI"/>
        </w:rPr>
        <w:t>ឃ្លា</w:t>
      </w:r>
      <w:r>
        <w:rPr>
          <w:rFonts w:ascii="Times New Roman" w:hAnsi="Times New Roman" w:eastAsia="Times New Roman" w:cs="Times New Roman"/>
        </w:rPr>
        <w:t xml:space="preserve"> </w:t>
      </w:r>
      <w:r>
        <w:rPr>
          <w:rFonts w:ascii="Leelawadee UI" w:hAnsi="Leelawadee UI" w:eastAsia="Leelawadee UI" w:cs="Leelawadee UI"/>
        </w:rPr>
        <w:t>១</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 xml:space="preserve"> </w:t>
      </w:r>
      <w:r>
        <w:rPr>
          <w:rFonts w:ascii="Leelawadee UI" w:hAnsi="Leelawadee UI" w:eastAsia="Leelawadee UI" w:cs="Leelawadee UI"/>
        </w:rPr>
        <w:t>កំណត់អត្តសញ្ញាណលំដាប់នៃប្រធានាធិបតីមួយ</w:t>
      </w:r>
      <w:r>
        <w:rPr>
          <w:rFonts w:ascii="Times New Roman" w:hAnsi="Times New Roman" w:eastAsia="Times New Roman" w:cs="Times New Roman"/>
        </w:rPr>
        <w:t xml:space="preserve"> </w:t>
      </w:r>
      <w:r>
        <w:rPr>
          <w:rFonts w:ascii="Leelawadee UI" w:hAnsi="Leelawadee UI" w:eastAsia="Leelawadee UI" w:cs="Leelawadee UI"/>
        </w:rPr>
        <w:t>ដែលចាប់ផ្តើមនៅឆ្នាំ</w:t>
      </w:r>
      <w:r>
        <w:rPr>
          <w:rFonts w:ascii="Times New Roman" w:hAnsi="Times New Roman" w:eastAsia="Times New Roman" w:cs="Times New Roman"/>
        </w:rPr>
        <w:t xml:space="preserve"> </w:t>
      </w:r>
      <w:r>
        <w:rPr>
          <w:rFonts w:ascii="Leelawadee UI" w:hAnsi="Leelawadee UI" w:eastAsia="Leelawadee UI" w:cs="Leelawadee UI"/>
        </w:rPr>
        <w:t>១៩៨៩</w:t>
      </w:r>
      <w:r>
        <w:rPr>
          <w:rFonts w:ascii="Times New Roman" w:hAnsi="Times New Roman" w:eastAsia="Times New Roman" w:cs="Times New Roman"/>
        </w:rPr>
        <w:t xml:space="preserve"> </w:t>
      </w:r>
      <w:r>
        <w:rPr>
          <w:rFonts w:ascii="Leelawadee UI" w:hAnsi="Leelawadee UI" w:eastAsia="Leelawadee UI" w:cs="Leelawadee UI"/>
        </w:rPr>
        <w:t>ស្របតាមផ្នែកទីពីរនៃឃ្លា</w:t>
      </w:r>
      <w:r>
        <w:rPr>
          <w:rFonts w:ascii="Times New Roman" w:hAnsi="Times New Roman" w:eastAsia="Times New Roman" w:cs="Times New Roman"/>
        </w:rPr>
        <w:t xml:space="preserve"> </w:t>
      </w:r>
      <w:r>
        <w:rPr>
          <w:rFonts w:ascii="Leelawadee UI" w:hAnsi="Leelawadee UI" w:eastAsia="Leelawadee UI" w:cs="Leelawadee UI"/>
        </w:rPr>
        <w:t>៤០។</w:t>
      </w:r>
      <w:r>
        <w:rPr>
          <w:rFonts w:ascii="Times New Roman" w:hAnsi="Times New Roman" w:eastAsia="Times New Roman" w:cs="Times New Roman"/>
        </w:rPr>
        <w:t xml:space="preserve"> </w:t>
      </w:r>
      <w:r>
        <w:rPr>
          <w:rFonts w:ascii="Leelawadee UI" w:hAnsi="Leelawadee UI" w:eastAsia="Leelawadee UI" w:cs="Leelawadee UI"/>
        </w:rPr>
        <w:t>ឃ្លា</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សម្គាល់ការចាប់ផ្តើមនៃសង្គ្រាមអ៊ុយក្រែនក្នុងឆ្នាំ</w:t>
      </w:r>
      <w:r>
        <w:rPr>
          <w:rFonts w:ascii="Times New Roman" w:hAnsi="Times New Roman" w:eastAsia="Times New Roman" w:cs="Times New Roman"/>
        </w:rPr>
        <w:t xml:space="preserve"> </w:t>
      </w:r>
      <w:r>
        <w:rPr>
          <w:rFonts w:ascii="Leelawadee UI" w:hAnsi="Leelawadee UI" w:eastAsia="Leelawadee UI" w:cs="Leelawadee UI"/>
        </w:rPr>
        <w:t>២០១៤</w:t>
      </w:r>
      <w:r>
        <w:rPr>
          <w:rFonts w:ascii="Times New Roman" w:hAnsi="Times New Roman" w:eastAsia="Times New Roman" w:cs="Times New Roman"/>
        </w:rPr>
        <w:t xml:space="preserve"> </w:t>
      </w:r>
      <w:r>
        <w:rPr>
          <w:rFonts w:ascii="Leelawadee UI" w:hAnsi="Leelawadee UI" w:eastAsia="Leelawadee UI" w:cs="Leelawadee UI"/>
        </w:rPr>
        <w:t>ខណៈដែលឃ្លា</w:t>
      </w:r>
      <w:r>
        <w:rPr>
          <w:rFonts w:ascii="Times New Roman" w:hAnsi="Times New Roman" w:eastAsia="Times New Roman" w:cs="Times New Roman"/>
        </w:rPr>
        <w:t xml:space="preserve"> </w:t>
      </w:r>
      <w:r>
        <w:rPr>
          <w:rFonts w:ascii="Leelawadee UI" w:hAnsi="Leelawadee UI" w:eastAsia="Leelawadee UI" w:cs="Leelawadee UI"/>
        </w:rPr>
        <w:t>១២</w:t>
      </w:r>
      <w:r>
        <w:rPr>
          <w:rFonts w:ascii="Times New Roman" w:hAnsi="Times New Roman" w:eastAsia="Times New Roman" w:cs="Times New Roman"/>
        </w:rPr>
        <w:t xml:space="preserve"> </w:t>
      </w:r>
      <w:r>
        <w:rPr>
          <w:rFonts w:ascii="Leelawadee UI" w:hAnsi="Leelawadee UI" w:eastAsia="Leelawadee UI" w:cs="Leelawadee UI"/>
        </w:rPr>
        <w:t>រំលេចផលវិបាកដែលស្តេចខាងត្បូងដែលបានទទួលជ័យជម្នះនាំមកលើខ្លួនឯង។</w:t>
      </w:r>
      <w:r>
        <w:rPr>
          <w:rFonts w:ascii="Times New Roman" w:hAnsi="Times New Roman" w:eastAsia="Times New Roman" w:cs="Times New Roman"/>
        </w:rPr>
        <w:t xml:space="preserve"> </w:t>
      </w:r>
      <w:r>
        <w:rPr>
          <w:rFonts w:ascii="Leelawadee UI" w:hAnsi="Leelawadee UI" w:eastAsia="Leelawadee UI" w:cs="Leelawadee UI"/>
        </w:rPr>
        <w:t>ឃ្លា</w:t>
      </w:r>
      <w:r>
        <w:rPr>
          <w:rFonts w:ascii="Times New Roman" w:hAnsi="Times New Roman" w:eastAsia="Times New Roman" w:cs="Times New Roman"/>
        </w:rPr>
        <w:t xml:space="preserve"> </w:t>
      </w:r>
      <w:r>
        <w:rPr>
          <w:rFonts w:ascii="Leelawadee UI" w:hAnsi="Leelawadee UI" w:eastAsia="Leelawadee UI" w:cs="Leelawadee UI"/>
        </w:rPr>
        <w:t>១៣</w:t>
      </w:r>
      <w:r>
        <w:rPr>
          <w:rFonts w:ascii="Times New Roman" w:hAnsi="Times New Roman" w:eastAsia="Times New Roman" w:cs="Times New Roman"/>
        </w:rPr>
        <w:t xml:space="preserve"> </w:t>
      </w:r>
      <w:r>
        <w:rPr>
          <w:rFonts w:ascii="Leelawadee UI" w:hAnsi="Leelawadee UI" w:eastAsia="Leelawadee UI" w:cs="Leelawadee UI"/>
        </w:rPr>
        <w:t>ជិតដល់ការសម្រេចបំពេញហើយ</w:t>
      </w:r>
      <w:r>
        <w:rPr>
          <w:rFonts w:ascii="Times New Roman" w:hAnsi="Times New Roman" w:eastAsia="Times New Roman" w:cs="Times New Roman"/>
        </w:rPr>
        <w:t xml:space="preserve"> </w:t>
      </w:r>
      <w:r>
        <w:rPr>
          <w:rFonts w:ascii="Leelawadee UI" w:hAnsi="Leelawadee UI" w:eastAsia="Leelawadee UI" w:cs="Leelawadee UI"/>
        </w:rPr>
        <w:t>ប៉ុន្តែនៅទីនេះយើងកត់សម្គាល់ថា</w:t>
      </w:r>
      <w:r>
        <w:rPr>
          <w:rFonts w:ascii="Times New Roman" w:hAnsi="Times New Roman" w:eastAsia="Times New Roman" w:cs="Times New Roman"/>
        </w:rPr>
        <w:t xml:space="preserve"> </w:t>
      </w:r>
      <w:r>
        <w:rPr>
          <w:rFonts w:ascii="Leelawadee UI" w:hAnsi="Leelawadee UI" w:eastAsia="Leelawadee UI" w:cs="Leelawadee UI"/>
        </w:rPr>
        <w:t>ឃ្លា</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ស្ថិតនៅក្នុងផ្នែកទីពីរនៃឃ្លា</w:t>
      </w:r>
      <w:r>
        <w:rPr>
          <w:rFonts w:ascii="Times New Roman" w:hAnsi="Times New Roman" w:eastAsia="Times New Roman" w:cs="Times New Roman"/>
        </w:rPr>
        <w:t xml:space="preserve"> </w:t>
      </w:r>
      <w:r>
        <w:rPr>
          <w:rFonts w:ascii="Leelawadee UI" w:hAnsi="Leelawadee UI" w:eastAsia="Leelawadee UI" w:cs="Leelawadee UI"/>
        </w:rPr>
        <w:t>៤០</w:t>
      </w:r>
      <w:r>
        <w:rPr>
          <w:rFonts w:ascii="Times New Roman" w:hAnsi="Times New Roman" w:eastAsia="Times New Roman" w:cs="Times New Roman"/>
        </w:rPr>
        <w:t xml:space="preserve"> </w:t>
      </w:r>
      <w:r>
        <w:rPr>
          <w:rFonts w:ascii="Leelawadee UI" w:hAnsi="Leelawadee UI" w:eastAsia="Leelawadee UI" w:cs="Leelawadee UI"/>
        </w:rPr>
        <w:t>គឺបន្ទាប់ពីឆ្នាំ</w:t>
      </w:r>
      <w:r>
        <w:rPr>
          <w:rFonts w:ascii="Times New Roman" w:hAnsi="Times New Roman" w:eastAsia="Times New Roman" w:cs="Times New Roman"/>
        </w:rPr>
        <w:t xml:space="preserve"> </w:t>
      </w:r>
      <w:r>
        <w:rPr>
          <w:rFonts w:ascii="Leelawadee UI" w:hAnsi="Leelawadee UI" w:eastAsia="Leelawadee UI" w:cs="Leelawadee UI"/>
        </w:rPr>
        <w:t>១៩៨៩</w:t>
      </w:r>
      <w:r>
        <w:rPr>
          <w:rFonts w:ascii="Times New Roman" w:hAnsi="Times New Roman" w:eastAsia="Times New Roman" w:cs="Times New Roman"/>
        </w:rPr>
        <w:t xml:space="preserve"> </w:t>
      </w:r>
      <w:r>
        <w:rPr>
          <w:rFonts w:ascii="Leelawadee UI" w:hAnsi="Leelawadee UI" w:eastAsia="Leelawadee UI" w:cs="Leelawadee UI"/>
        </w:rPr>
        <w:t>ប៉ុន្តែមុនច្បាប់ថ្ងៃអាទិត្យ</w:t>
      </w:r>
      <w:r>
        <w:rPr>
          <w:rFonts w:ascii="Times New Roman" w:hAnsi="Times New Roman" w:eastAsia="Times New Roman" w:cs="Times New Roman"/>
        </w:rPr>
        <w:t xml:space="preserve"> (</w:t>
      </w:r>
      <w:r>
        <w:rPr>
          <w:rFonts w:ascii="Leelawadee UI" w:hAnsi="Leelawadee UI" w:eastAsia="Leelawadee UI" w:cs="Leelawadee UI"/>
        </w:rPr>
        <w:t>ឃ្លា</w:t>
      </w:r>
      <w:r>
        <w:rPr>
          <w:rFonts w:ascii="Times New Roman" w:hAnsi="Times New Roman" w:eastAsia="Times New Roman" w:cs="Times New Roman"/>
        </w:rPr>
        <w:t xml:space="preserve"> </w:t>
      </w:r>
      <w:r>
        <w:rPr>
          <w:rFonts w:ascii="Leelawadee UI" w:hAnsi="Leelawadee UI" w:eastAsia="Leelawadee UI" w:cs="Leelawadee UI"/>
        </w:rPr>
        <w:t>៤១</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၁၃</w:t>
      </w:r>
      <w:r>
        <w:rPr>
          <w:rFonts w:ascii="Times New Roman" w:hAnsi="Times New Roman" w:eastAsia="Times New Roman" w:cs="Times New Roman"/>
        </w:rPr>
        <w:t>–</w:t>
      </w:r>
      <w:r>
        <w:rPr>
          <w:rFonts w:ascii="Myanmar Text" w:hAnsi="Myanmar Text" w:eastAsia="Myanmar Text" w:cs="Myanmar Text"/>
        </w:rPr>
        <w:t>၁၅</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w:t>
      </w:r>
      <w:r>
        <w:rPr>
          <w:rFonts w:ascii="Myanmar Text" w:hAnsi="Myanmar Text" w:eastAsia="Myanmar Text" w:cs="Myanmar Text"/>
        </w:rPr>
        <w:t>၂၀၀</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ဖြစ်ပွားခဲ့သော</w:t>
      </w:r>
      <w:r>
        <w:rPr>
          <w:rFonts w:ascii="Times New Roman" w:hAnsi="Times New Roman" w:eastAsia="Times New Roman" w:cs="Times New Roman"/>
        </w:rPr>
        <w:t xml:space="preserve"> Panium </w:t>
      </w:r>
      <w:r>
        <w:rPr>
          <w:rFonts w:ascii="Myanmar Text" w:hAnsi="Myanmar Text" w:eastAsia="Myanmar Text" w:cs="Myanmar Text"/>
        </w:rPr>
        <w:t>စစ်ပွဲကို</w:t>
      </w:r>
      <w:r>
        <w:rPr>
          <w:rFonts w:ascii="Times New Roman" w:hAnsi="Times New Roman" w:eastAsia="Times New Roman" w:cs="Times New Roman"/>
        </w:rPr>
        <w:t xml:space="preserve"> </w:t>
      </w:r>
      <w:r>
        <w:rPr>
          <w:rFonts w:ascii="Myanmar Text" w:hAnsi="Myanmar Text" w:eastAsia="Myanmar Text" w:cs="Myanmar Text"/>
        </w:rPr>
        <w:t>ညွှန်ပြပြီး၊</w:t>
      </w:r>
      <w:r>
        <w:rPr>
          <w:rFonts w:ascii="Times New Roman" w:hAnsi="Times New Roman" w:eastAsia="Times New Roman" w:cs="Times New Roman"/>
        </w:rPr>
        <w:t xml:space="preserve"> </w:t>
      </w:r>
      <w:r>
        <w:rPr>
          <w:rFonts w:ascii="Myanmar Text" w:hAnsi="Myanmar Text" w:eastAsia="Myanmar Text" w:cs="Myanmar Text"/>
        </w:rPr>
        <w:t>ထိုနှစ်သည်</w:t>
      </w:r>
      <w:r>
        <w:rPr>
          <w:rFonts w:ascii="Times New Roman" w:hAnsi="Times New Roman" w:eastAsia="Times New Roman" w:cs="Times New Roman"/>
        </w:rPr>
        <w:t xml:space="preserve"> </w:t>
      </w:r>
      <w:r>
        <w:rPr>
          <w:rFonts w:ascii="Myanmar Text" w:hAnsi="Myanmar Text" w:eastAsia="Myanmar Text" w:cs="Myanmar Text"/>
        </w:rPr>
        <w:t>ထိုစစ်ပွဲနှင့်</w:t>
      </w:r>
      <w:r>
        <w:rPr>
          <w:rFonts w:ascii="Times New Roman" w:hAnsi="Times New Roman" w:eastAsia="Times New Roman" w:cs="Times New Roman"/>
        </w:rPr>
        <w:t xml:space="preserve"> </w:t>
      </w:r>
      <w:r>
        <w:rPr>
          <w:rFonts w:ascii="Myanmar Text" w:hAnsi="Myanmar Text" w:eastAsia="Myanmar Text" w:cs="Myanmar Text"/>
        </w:rPr>
        <w:t>ဆက်စပ်လျက်</w:t>
      </w:r>
      <w:r>
        <w:rPr>
          <w:rFonts w:ascii="Times New Roman" w:hAnsi="Times New Roman" w:eastAsia="Times New Roman" w:cs="Times New Roman"/>
        </w:rPr>
        <w:t xml:space="preserve"> </w:t>
      </w:r>
      <w:r>
        <w:rPr>
          <w:rFonts w:ascii="Myanmar Text" w:hAnsi="Myanmar Text" w:eastAsia="Myanmar Text" w:cs="Myanmar Text"/>
        </w:rPr>
        <w:t>အယူမှား</w:t>
      </w:r>
      <w:r>
        <w:rPr>
          <w:rFonts w:ascii="Times New Roman" w:hAnsi="Times New Roman" w:eastAsia="Times New Roman" w:cs="Times New Roman"/>
        </w:rPr>
        <w:t xml:space="preserve"> </w:t>
      </w:r>
      <w:r>
        <w:rPr>
          <w:rFonts w:ascii="Myanmar Text" w:hAnsi="Myanmar Text" w:eastAsia="Myanmar Text" w:cs="Myanmar Text"/>
        </w:rPr>
        <w:t>ရောမနိုင်ငံသည်</w:t>
      </w:r>
      <w:r>
        <w:rPr>
          <w:rFonts w:ascii="Times New Roman" w:hAnsi="Times New Roman" w:eastAsia="Times New Roman" w:cs="Times New Roman"/>
        </w:rPr>
        <w:t xml:space="preserve"> </w:t>
      </w:r>
      <w:r>
        <w:rPr>
          <w:rFonts w:ascii="Myanmar Text" w:hAnsi="Myanmar Text" w:eastAsia="Myanmar Text" w:cs="Myanmar Text"/>
        </w:rPr>
        <w:t>လူသားရေးရာများအပေါ်</w:t>
      </w:r>
      <w:r>
        <w:rPr>
          <w:rFonts w:ascii="Times New Roman" w:hAnsi="Times New Roman" w:eastAsia="Times New Roman" w:cs="Times New Roman"/>
        </w:rPr>
        <w:t xml:space="preserve"> </w:t>
      </w:r>
      <w:r>
        <w:rPr>
          <w:rFonts w:ascii="Myanmar Text" w:hAnsi="Myanmar Text" w:eastAsia="Myanmar Text" w:cs="Myanmar Text"/>
        </w:rPr>
        <w:t>သြဇာလွှမ်းမိုးမှုကို</w:t>
      </w:r>
      <w:r>
        <w:rPr>
          <w:rFonts w:ascii="Times New Roman" w:hAnsi="Times New Roman" w:eastAsia="Times New Roman" w:cs="Times New Roman"/>
        </w:rPr>
        <w:t xml:space="preserve"> </w:t>
      </w:r>
      <w:r>
        <w:rPr>
          <w:rFonts w:ascii="Myanmar Text" w:hAnsi="Myanmar Text" w:eastAsia="Myanmar Text" w:cs="Myanmar Text"/>
        </w:rPr>
        <w:t>စတင်ပြုလုပ်ခဲ့သော</w:t>
      </w:r>
      <w:r>
        <w:rPr>
          <w:rFonts w:ascii="Times New Roman" w:hAnsi="Times New Roman" w:eastAsia="Times New Roman" w:cs="Times New Roman"/>
        </w:rPr>
        <w:t xml:space="preserve"> </w:t>
      </w:r>
      <w:r>
        <w:rPr>
          <w:rFonts w:ascii="Myanmar Text" w:hAnsi="Myanmar Text" w:eastAsia="Myanmar Text" w:cs="Myanmar Text"/>
        </w:rPr>
        <w:t>အချိန်ဖြစ်သည်။</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၁၆</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Pompey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ယေရုရှလင်မြို့သို့</w:t>
      </w:r>
      <w:r>
        <w:rPr>
          <w:rFonts w:ascii="Times New Roman" w:hAnsi="Times New Roman" w:eastAsia="Times New Roman" w:cs="Times New Roman"/>
        </w:rPr>
        <w:t xml:space="preserve"> </w:t>
      </w:r>
      <w:r>
        <w:rPr>
          <w:rFonts w:ascii="Myanmar Text" w:hAnsi="Myanmar Text" w:eastAsia="Myanmar Text" w:cs="Myanmar Text"/>
        </w:rPr>
        <w:t>ဝင်ရောက်မှု</w:t>
      </w:r>
      <w:r>
        <w:rPr>
          <w:rFonts w:ascii="Times New Roman" w:hAnsi="Times New Roman" w:eastAsia="Times New Roman" w:cs="Times New Roman"/>
        </w:rPr>
        <w:t xml:space="preserve"> </w:t>
      </w:r>
      <w:r>
        <w:rPr>
          <w:rFonts w:ascii="Myanmar Text" w:hAnsi="Myanmar Text" w:eastAsia="Myanmar Text" w:cs="Myanmar Text"/>
        </w:rPr>
        <w:t>မတိုင်မီကပင်</w:t>
      </w:r>
      <w:r>
        <w:rPr>
          <w:rFonts w:ascii="Times New Roman" w:hAnsi="Times New Roman" w:eastAsia="Times New Roman" w:cs="Times New Roman"/>
        </w:rPr>
        <w:t xml:space="preserve"> </w:t>
      </w:r>
      <w:r>
        <w:rPr>
          <w:rFonts w:ascii="Myanmar Text" w:hAnsi="Myanmar Text" w:eastAsia="Myanmar Text" w:cs="Myanmar Text"/>
        </w:rPr>
        <w:t>ဤအမှု</w:t>
      </w:r>
      <w:r>
        <w:rPr>
          <w:rFonts w:ascii="Times New Roman" w:hAnsi="Times New Roman" w:eastAsia="Times New Roman" w:cs="Times New Roman"/>
        </w:rPr>
        <w:t xml:space="preserve"> </w:t>
      </w:r>
      <w:r>
        <w:rPr>
          <w:rFonts w:ascii="Myanmar Text" w:hAnsi="Myanmar Text" w:eastAsia="Myanmar Text" w:cs="Myanmar Text"/>
        </w:rPr>
        <w:t>ဖြစ်ပွားခဲ့သဖြင့်၊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၄၁</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အမေရိကန်ပြည်ထောင်စုရှိ</w:t>
      </w:r>
      <w:r>
        <w:rPr>
          <w:rFonts w:ascii="Times New Roman" w:hAnsi="Times New Roman" w:eastAsia="Times New Roman" w:cs="Times New Roman"/>
        </w:rPr>
        <w:t xml:space="preserve"> </w:t>
      </w:r>
      <w:r>
        <w:rPr>
          <w:rFonts w:ascii="Myanmar Text" w:hAnsi="Myanmar Text" w:eastAsia="Myanmar Text" w:cs="Myanmar Text"/>
        </w:rPr>
        <w:t>တနင်္ဂနွေနေ့</w:t>
      </w:r>
      <w:r>
        <w:rPr>
          <w:rFonts w:ascii="Times New Roman" w:hAnsi="Times New Roman" w:eastAsia="Times New Roman" w:cs="Times New Roman"/>
        </w:rPr>
        <w:t xml:space="preserve"> </w:t>
      </w:r>
      <w:r>
        <w:rPr>
          <w:rFonts w:ascii="Myanmar Text" w:hAnsi="Myanmar Text" w:eastAsia="Myanmar Text" w:cs="Myanmar Text"/>
        </w:rPr>
        <w:t>ဥပဒေဟု</w:t>
      </w:r>
      <w:r>
        <w:rPr>
          <w:rFonts w:ascii="Times New Roman" w:hAnsi="Times New Roman" w:eastAsia="Times New Roman" w:cs="Times New Roman"/>
        </w:rPr>
        <w:t xml:space="preserve"> </w:t>
      </w:r>
      <w:r>
        <w:rPr>
          <w:rFonts w:ascii="Myanmar Text" w:hAnsi="Myanmar Text" w:eastAsia="Myanmar Text" w:cs="Myanmar Text"/>
        </w:rPr>
        <w:t>သတ်မှတ်ဖော်ထုတ်ပေးသော</w:t>
      </w:r>
      <w:r>
        <w:rPr>
          <w:rFonts w:ascii="Times New Roman" w:hAnsi="Times New Roman" w:eastAsia="Times New Roman" w:cs="Times New Roman"/>
        </w:rPr>
        <w:t xml:space="preserve"> </w:t>
      </w:r>
      <w:r>
        <w:rPr>
          <w:rFonts w:ascii="Myanmar Text" w:hAnsi="Myanmar Text" w:eastAsia="Myanmar Text" w:cs="Myanmar Text"/>
        </w:rPr>
        <w:t>သမိုင်းဆိုင်ရာ</w:t>
      </w:r>
      <w:r>
        <w:rPr>
          <w:rFonts w:ascii="Times New Roman" w:hAnsi="Times New Roman" w:eastAsia="Times New Roman" w:cs="Times New Roman"/>
        </w:rPr>
        <w:t xml:space="preserve"> </w:t>
      </w:r>
      <w:r>
        <w:rPr>
          <w:rFonts w:ascii="Myanmar Text" w:hAnsi="Myanmar Text" w:eastAsia="Myanmar Text" w:cs="Myanmar Text"/>
        </w:rPr>
        <w:t>အထောက်အထားကို</w:t>
      </w:r>
      <w:r>
        <w:rPr>
          <w:rFonts w:ascii="Times New Roman" w:hAnsi="Times New Roman" w:eastAsia="Times New Roman" w:cs="Times New Roman"/>
        </w:rPr>
        <w:t xml:space="preserve"> </w:t>
      </w:r>
      <w:r>
        <w:rPr>
          <w:rFonts w:ascii="Myanmar Text" w:hAnsi="Myanmar Text" w:eastAsia="Myanmar Text" w:cs="Myanmar Text"/>
        </w:rPr>
        <w:t>ပေးစွမ်းသည်။</w:t>
      </w:r>
    </w:p>
    <w:p>
      <w:pPr>
        <w:pStyle w:val="ArticleBody"/>
        <w:jc w:val="left"/>
      </w:pPr>
      <w:r>
        <w:rPr>
          <w:rFonts w:ascii="Times New Roman" w:hAnsi="Times New Roman" w:eastAsia="Times New Roman" w:cs="Times New Roman"/>
        </w:rPr>
        <w:t>Boporofeta bo bongwe le bo bongwe le tiragalo ya jona ya hisetori mo go Daniele 11 di wela gongwe mo hisetoring ya temana 40 (1798 go fitlha molaong wa Sontaga) kgotsa go tswa mo temaneng 41 go fitlha go Daniele 12:1. Mo ditemaneng tse 45, ditemana 1, 2, 7–15, le 40—ka kakaretso tsotlhe di le lesome le bobedi—di dira mo mothalong wa nako wa temana 40 fa di bewa mola godimo ga mola. Temana 40 e kgaogana ka dikarolo tse pedi kwa 1989. Ditemana 1, 2, le 10–15 di tsamaelana le seripa sa yona sa bobedi. Temana 1 le 2 di sala morago mothalo wa baporesidente mo hisetoring ya sebatana sa lefatshe, fa ditemana 10–15 di bontsha dintwa tse tharo tsa baemedi tse di rulagantsweng ke kgosi ya bokone (maatla a bopapa) go tswa ka 1989 go fitlha molaong wa Sontaga. Dintwa tse tharo tsa baemedi di simolola ka United States, e e tlhalosiwang mo temaneng 40 e le “dikara, dikepe le bapalami ba dipitse.”</w:t>
      </w:r>
    </w:p>
    <w:p>
      <w:pPr>
        <w:pStyle w:val="ArticleBody"/>
        <w:jc w:val="left"/>
      </w:pPr>
      <w:r>
        <w:rPr>
          <w:rFonts w:ascii="Microsoft Himalaya" w:hAnsi="Microsoft Himalaya" w:eastAsia="Microsoft Himalaya" w:cs="Microsoft Himalaya"/>
        </w:rPr>
        <w:t>ང་ཚོས་རྩོམ་ཡིག་རྗེས་མའི་ནང་དུ་མུ་མཐུད་དེ་བཤད་ཀྱི་ཡིན།</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Номер Еден</dc:title>
  <dc:subject>Kgaolo ya Somo le Nngwe</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