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Wahyu Yesus Kristus - Nomor Tiga</w:t>
      </w:r>
    </w:p>
    <w:p>
      <w:pPr>
        <w:pStyle w:val="ArticleSubtitle"/>
        <w:jc w:val="left"/>
      </w:pPr>
      <w:r>
        <w:rPr>
          <w:rFonts w:ascii="Nirmala UI" w:hAnsi="Nirmala UI" w:eastAsia="Nirmala UI" w:cs="Nirmala UI"/>
        </w:rPr>
        <w:t>ముందుగా</w:t>
      </w:r>
      <w:r>
        <w:rPr>
          <w:rFonts w:ascii="Arial" w:hAnsi="Arial" w:eastAsia="Arial" w:cs="Arial"/>
        </w:rPr>
        <w:t xml:space="preserve"> </w:t>
      </w:r>
      <w:r>
        <w:rPr>
          <w:rFonts w:ascii="Nirmala UI" w:hAnsi="Nirmala UI" w:eastAsia="Nirmala UI" w:cs="Nirmala UI"/>
        </w:rPr>
        <w:t>ప్రవచనాత్మక</w:t>
      </w:r>
      <w:r>
        <w:rPr>
          <w:rFonts w:ascii="Arial" w:hAnsi="Arial" w:eastAsia="Arial" w:cs="Arial"/>
        </w:rPr>
        <w:t xml:space="preserve"> </w:t>
      </w:r>
      <w:r>
        <w:rPr>
          <w:rFonts w:ascii="Nirmala UI" w:hAnsi="Nirmala UI" w:eastAsia="Nirmala UI" w:cs="Nirmala UI"/>
        </w:rPr>
        <w:t>పునాదులను</w:t>
      </w:r>
      <w:r>
        <w:rPr>
          <w:rFonts w:ascii="Arial" w:hAnsi="Arial" w:eastAsia="Arial" w:cs="Arial"/>
        </w:rPr>
        <w:t xml:space="preserve"> </w:t>
      </w:r>
      <w:r>
        <w:rPr>
          <w:rFonts w:ascii="Nirmala UI" w:hAnsi="Nirmala UI" w:eastAsia="Nirmala UI" w:cs="Nirmala UI"/>
        </w:rPr>
        <w:t>వెల్లడించడం</w:t>
      </w:r>
      <w:r>
        <w:rPr>
          <w:rFonts w:ascii="Arial" w:hAnsi="Arial" w:eastAsia="Arial" w:cs="Arial"/>
        </w:rPr>
        <w:t xml:space="preserve">: </w:t>
      </w:r>
      <w:r>
        <w:rPr>
          <w:rFonts w:ascii="Nirmala UI" w:hAnsi="Nirmala UI" w:eastAsia="Nirmala UI" w:cs="Nirmala UI"/>
        </w:rPr>
        <w:t>ప్రకటన</w:t>
      </w:r>
      <w:r>
        <w:rPr>
          <w:rFonts w:ascii="Arial" w:hAnsi="Arial" w:eastAsia="Arial" w:cs="Arial"/>
        </w:rPr>
        <w:t xml:space="preserve"> </w:t>
      </w:r>
      <w:r>
        <w:rPr>
          <w:rFonts w:ascii="Nirmala UI" w:hAnsi="Nirmala UI" w:eastAsia="Nirmala UI" w:cs="Nirmala UI"/>
        </w:rPr>
        <w:t>గ్రంథము</w:t>
      </w:r>
      <w:r>
        <w:rPr>
          <w:rFonts w:ascii="Arial" w:hAnsi="Arial" w:eastAsia="Arial" w:cs="Arial"/>
        </w:rPr>
        <w:t xml:space="preserve"> </w:t>
      </w:r>
      <w:r>
        <w:rPr>
          <w:rFonts w:ascii="Nirmala UI" w:hAnsi="Nirmala UI" w:eastAsia="Nirmala UI" w:cs="Nirmala UI"/>
        </w:rPr>
        <w:t>మరియు</w:t>
      </w:r>
      <w:r>
        <w:rPr>
          <w:rFonts w:ascii="Arial" w:hAnsi="Arial" w:eastAsia="Arial" w:cs="Arial"/>
        </w:rPr>
        <w:t xml:space="preserve"> </w:t>
      </w:r>
      <w:r>
        <w:rPr>
          <w:rFonts w:ascii="Nirmala UI" w:hAnsi="Nirmala UI" w:eastAsia="Nirmala UI" w:cs="Nirmala UI"/>
        </w:rPr>
        <w:t>సత్యమార్గంపై</w:t>
      </w:r>
      <w:r>
        <w:rPr>
          <w:rFonts w:ascii="Arial" w:hAnsi="Arial" w:eastAsia="Arial" w:cs="Arial"/>
        </w:rPr>
        <w:t xml:space="preserve"> </w:t>
      </w:r>
      <w:r>
        <w:rPr>
          <w:rFonts w:ascii="Nirmala UI" w:hAnsi="Nirmala UI" w:eastAsia="Nirmala UI" w:cs="Nirmala UI"/>
        </w:rPr>
        <w:t>ఒక</w:t>
      </w:r>
      <w:r>
        <w:rPr>
          <w:rFonts w:ascii="Arial" w:hAnsi="Arial" w:eastAsia="Arial" w:cs="Arial"/>
        </w:rPr>
        <w:t xml:space="preserve"> </w:t>
      </w:r>
      <w:r>
        <w:rPr>
          <w:rFonts w:ascii="Nirmala UI" w:hAnsi="Nirmala UI" w:eastAsia="Nirmala UI" w:cs="Nirmala UI"/>
        </w:rPr>
        <w:t>అధ్యయనం</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2023-08-21</w:t>
      </w:r>
    </w:p>
    <w:p>
      <w:pPr>
        <w:pStyle w:val="ArticleScripture"/>
        <w:jc w:val="left"/>
      </w:pPr>
      <w:r>
        <w:rPr>
          <w:rFonts w:ascii="Times New Roman" w:hAnsi="Times New Roman" w:eastAsia="Times New Roman" w:cs="Times New Roman"/>
        </w:rPr>
        <w:t>“Mthusolotha nkheni ni kudumba kuti tipenja timiyala ta cisinka ta mtengo ukulu, cuma cakubisika cizindikirika. Mu mwango usambalwa, tisanga ulale wa mtengo ukulu uwo ukwenera kukonkanyiwapo no kusungilwa. Kansi ukupenja kweneku kukwenera kulutirizgika. Mpaka sono, cintu cinandi ca cuma ico casangika cali pafupi na pamutunda, ndipo casangikanga mwakupusa. Para ukupenja kwachitika mwakwenelera, kuyezgayezga kulikose kukuchitika kuti kusunge kupulikiska kwakutowa na mtima utuŵa. Para maghanoghano ghakusungika ghakujulika ndipo ghakulutilira nyengo zose kupenja nkheni ya uvumbuzi, tisangenge malo ghakuzura na unenesko wakusanguluska.”</w:t>
      </w:r>
    </w:p>
    <w:p>
      <w:pPr>
        <w:pStyle w:val="ArticleScripture"/>
        <w:jc w:val="left"/>
      </w:pPr>
      <w:r>
        <w:rPr>
          <w:rFonts w:ascii="Times New Roman" w:hAnsi="Times New Roman" w:eastAsia="Times New Roman" w:cs="Times New Roman"/>
        </w:rPr>
        <w:t>“Kebenaran-kebenaran lama akan dinyatakan dalam aspek-aspek yang baru, dan kebenaran-kebenaran akan tampak yang telah terlewatkan dalam pencarian. Kebenaran-kebenaran yang agung telah terkubur di bawah sofistri kesesatan, tetapi semuanya itu akan ditemukan oleh pencari yang tekun. Ketika ia menemukan dan membuka perbendaharaan permata-permata kebenaran yang berharga, itu bukanlah suatu perampasan; sebab semua orang yang menghargai permata-permata ini boleh memilikinya, dan dengan demikian mereka juga mempunyai suatu perbendaharaan untuk dibukakan kepada orang lain. Ia yang membagikan tidak mengurangi harta perbendaharaannya sendiri; sebab sementara ia memeriksanya supaya ia dapat menyajikannya sedemikian rupa sehingga menarik orang lain, ia menemukan harta-harta baru....”</w:t>
      </w:r>
    </w:p>
    <w:p>
      <w:pPr>
        <w:pStyle w:val="ArticleScripture"/>
        <w:jc w:val="left"/>
      </w:pPr>
      <w:r>
        <w:rPr>
          <w:rFonts w:ascii="Times New Roman" w:hAnsi="Times New Roman" w:eastAsia="Times New Roman" w:cs="Times New Roman"/>
        </w:rPr>
        <w:t>“Ba ba emago pele ga batho e le barutabana ba boammaaruri ba tshwanetse go lebana le dithuto tse dikgolo. Ga ba a tshwanela go dirisa nako e e botlhokwa ba bua ka ditaba tse di se nang bokao. A ba ithute Lefoko, mme ba rere Lefoko. A Lefoko le nne mo diatleng tsa bone jaaka tšhaka e e bogale, e e magale mabedi. A le neye bosupi ka boammaaruri jwa nako e e fetileng mme le bontshe se se tla nnang gone mo isagweng.”</w:t>
      </w:r>
    </w:p>
    <w:p>
      <w:pPr>
        <w:pStyle w:val="ArticleScripture"/>
        <w:jc w:val="left"/>
      </w:pPr>
      <w:r>
        <w:rPr>
          <w:rFonts w:ascii="Times New Roman" w:hAnsi="Times New Roman" w:eastAsia="Times New Roman" w:cs="Times New Roman"/>
        </w:rPr>
        <w:t>“Moniŋŋo selk’naŋ moŋit atan ol kamraŋŋe prophesi-ini alaŋŋe pilpil niŋtiŋre maraŋreŋ, kora ol kamraŋŋe norok ṛamkora kumi olakna dukuŋ ma rkeŋe moŋ moŋiŋe gaḍaŋaṅe nampu-ṛe doho puloŋni.” Manuscript Releases, volume 1, 37–40.</w:t>
      </w:r>
    </w:p>
    <w:p>
      <w:pPr>
        <w:pStyle w:val="ArticleBody"/>
        <w:jc w:val="left"/>
      </w:pPr>
      <w:r>
        <w:rPr>
          <w:rFonts w:ascii="Times New Roman" w:hAnsi="Times New Roman" w:eastAsia="Times New Roman" w:cs="Times New Roman"/>
        </w:rPr>
        <w:t>Ndzi pfumela leswaku sweswi ndzi vekile swifaniso swo ringana swa vuprofeta hi swihloko leswi hundzeke leswaku hi va ni ndhawu leyinene yo kongomisa eka yona loko hi sungula ku ya emahlweni hi buku ya Nhlavutelo. Loko u ri karhi u hlaya swihloko leswi eka inthanete, ndzi tshemba leswaku wa twisisa leswaku swihloko leswi swi landzelelana hi masiku ya swona. Ndzi twisisa leswaku ku na lava landzelaka swihloko leswi lava toloveleke ngopfu eka swo tala leswi ndzi swi avelaka, naswona ndzi va kombela ku rivalela hikwalaho ka ku vuyelela loku hinkwako. Ndzi ringetile ku nyika nseketelo lowu ringaneke wa Matsalwa ya Bibele eka ntiyiso lowu hi tirhaka ha wona, leswaku munhu loyi a nga ntswa eka milawu leyi Future for America yi yi tirhisaka a ta twisisa naswona a ta tshama a ri karhi a hlanganyela, hambileswi a nga ha vaka a nga si tolovelana ngopfu ni miehleketo leyi leyi vo tala eka hina hi sengi hi yi tiva.</w:t>
      </w:r>
    </w:p>
    <w:p>
      <w:pPr>
        <w:pStyle w:val="ArticleBody"/>
        <w:jc w:val="left"/>
      </w:pPr>
      <w:r>
        <w:rPr>
          <w:rFonts w:ascii="Times New Roman" w:hAnsi="Times New Roman" w:eastAsia="Times New Roman" w:cs="Times New Roman"/>
        </w:rPr>
        <w:t>A naa le boammaaruri bo bongwe jo bo maatla thata, jo go fitlha bosheng jaana ke neng ke ise ke bo lemoge, jo bo senotsweng mo bukeng ya Tshenolo. Nka bo ke ne ka tlhoma boammaaruri joo mo pontsheng ya botlhe fela, ke sa leke pele go aga motheo wa tshegetso ya boperofeti pele ga ke bo abelana, mme boammaaruri joo bo bosha thata e bile bo boima thata mo ke sa kang ka ikemisetsa go bo abela kwantle ga motheo mongwe o nka bo beang mo go one, jo ke dumelang gore bo emetswe e le go bulwa ga ditiiso tsa Tshenolo go go diragalang fela pele ga nako ya tswalelo ya tetla e khutla.</w:t>
      </w:r>
    </w:p>
    <w:p>
      <w:pPr>
        <w:pStyle w:val="ArticleScripture"/>
        <w:jc w:val="left"/>
      </w:pPr>
      <w:r>
        <w:rPr>
          <w:rFonts w:ascii="Times New Roman" w:hAnsi="Times New Roman" w:eastAsia="Times New Roman" w:cs="Times New Roman"/>
        </w:rPr>
        <w:t>Lalu dia berkata kepadaku, “Jangan meterai perkataan-perkataan nubuat kitab ini, karena waktunya sudah dekat. Barangsiapa yang tidak adil, biarlah ia tetap tidak adil; dan barangsiapa yang cemar, biarlah ia tetap cemar; dan barangsiapa yang benar, biarlah ia tetap benar; dan barangsiapa yang kudus, biarlah ia tetap kudus.” Wahyu 22:10, 11.</w:t>
      </w:r>
    </w:p>
    <w:p>
      <w:pPr>
        <w:pStyle w:val="ArticleBody"/>
        <w:jc w:val="left"/>
      </w:pPr>
      <w:r>
        <w:rPr>
          <w:rFonts w:ascii="Times New Roman" w:hAnsi="Times New Roman" w:eastAsia="Times New Roman" w:cs="Times New Roman"/>
        </w:rPr>
        <w:t>Yesu atigae taona principle ka paglaad so katotohanan, ya saray pakaisip ko et mausar met ditoy. Say principle et nairaman ed pakabidbid na gawa na Espiritu Santo.</w:t>
      </w:r>
    </w:p>
    <w:p>
      <w:pPr>
        <w:pStyle w:val="ArticleScripture"/>
        <w:jc w:val="left"/>
      </w:pPr>
      <w:r>
        <w:rPr>
          <w:rFonts w:ascii="Times New Roman" w:hAnsi="Times New Roman" w:eastAsia="Times New Roman" w:cs="Times New Roman"/>
        </w:rPr>
        <w:t>E wakati e a tla, o tla kgala lefatshe ka ga boleo, le ka ga tshiamo, le ka ga katlholo: Ka ga boleo, ka gonne ba sa dumele mo go nna; Ka ga tshiamo, ka gonne ke ya kwa go Rre, mme ga lo sa tla go mpona; Ka ga katlholo, ka gonne kgosana ya lefatshe leno e sekilwe. Ke santse ke na le dilo di le dintsi tse ke tshwanetseng go di bua le lona, mme ga lo kake lwa di rwala jaanong. Le fa go ntse jalo, e tlaa re ene, Mowa wa boammaaruri, fa a tlile, o tlaa lo gogela mo boammaaruring jotlhe: gonne ga a kitla a bua ka ga gagwe; mme tsotlhe tse a tlaa di utlwang, ke tsone tse a tlaa di buang: gape o tlaa lo supetsa dilo tse di sa ntseng di tla. O tlaa nkgalaletsa: gonne o tlaa tsaya mo go tsa me, mme o tlaa di lo itsise. Johane 16:8–16.</w:t>
      </w:r>
    </w:p>
    <w:p>
      <w:pPr>
        <w:pStyle w:val="ArticleBody"/>
        <w:jc w:val="left"/>
      </w:pPr>
      <w:r>
        <w:rPr>
          <w:rFonts w:ascii="Times New Roman" w:hAnsi="Times New Roman" w:eastAsia="Times New Roman" w:cs="Times New Roman"/>
        </w:rPr>
        <w:t>Bila Kristus bersabda, “Masih banyak perkara yang harus Kukatakan kepadamu, tetapi sekarang kamu belum dapat menanggungnya,” hal itu meneguhkan keyakinanku bahwa pada masa ini memang masih banyak yang harus disampaikan, tetapi terlebih dahulu harus ada suatu dasar pemikiran yang logis untuk membangun kebenaran-kebenaran itu. Dengan demikian, ayat-ayat sebelumnya mengenali pekabaran tiga malaikat sebagai yang dilambangkan oleh Roh Kudus yang menginsafkan “dunia akan dosa, kebenaran, dan penghakiman.” Ketiga pekabaran itu adalah pekabaran amaran terakhir, maka petikan yang mengenali pekerjaan Roh Kudus ini merupakan suatu kesaksian yang penting, karena menegaskan bahwa pekabaran itu dipahami secara bertahap, dan hanya dipahami oleh mereka yang memiliki minyak Roh Kudus. Yohanes, dalam kitab Wahyu, melambangkan kebenaran itu sendiri ketika ia menyatakan bahawa dirinya ialah seorang Advent Hari Ketujuh yang beribadah pada hari Sabat pada akhir zaman.</w:t>
      </w:r>
    </w:p>
    <w:p>
      <w:pPr>
        <w:pStyle w:val="ArticleScripture"/>
        <w:jc w:val="left"/>
      </w:pPr>
      <w:r>
        <w:rPr>
          <w:rFonts w:ascii="Times New Roman" w:hAnsi="Times New Roman" w:eastAsia="Times New Roman" w:cs="Times New Roman"/>
        </w:rPr>
        <w:t>Aku berada di dalam Roh pada hari Tuhan, lalu aku mendengar di belakangku suatu suara yang nyaring, bagaikan bunyi sangkakala. Wahyu 1:10.</w:t>
      </w:r>
    </w:p>
    <w:p>
      <w:pPr>
        <w:pStyle w:val="ArticleBody"/>
        <w:jc w:val="left"/>
      </w:pPr>
      <w:r>
        <w:rPr>
          <w:rFonts w:ascii="Times New Roman" w:hAnsi="Times New Roman" w:eastAsia="Times New Roman" w:cs="Times New Roman"/>
        </w:rPr>
        <w:t>Waadventista wa Sabato ya Saba katika mwisho wa ulimwengu watakaoelewa ujumbe uliofunuliwa katika Ufunuo watafanya hivyo kwa sababu wako “katika Roho.” Katika muktadha wa mfano ambao tumeambiwa “unaonyesha uzoefu wa watu wa Waadventista,” Yohana ni bikira mwenye hekima, kwa maana ana mafuta ya Roho. Yeye anawakilisha mabikira wenye hekima katika mwisho wa ulimwengu, wanaosikia sauti kuu “nyuma” yao. “Sauti kutoka nyuma” yake ni Alfa na Omega kama anavyotambulishwa katika aya inayofuata mara moja, nayo sauti hiyo humjulisha arudi kwenye njia za kale na aende ndani yake.</w:t>
      </w:r>
    </w:p>
    <w:p>
      <w:pPr>
        <w:pStyle w:val="ArticleScripture"/>
        <w:jc w:val="left"/>
      </w:pPr>
      <w:r>
        <w:rPr>
          <w:rFonts w:ascii="Times New Roman" w:hAnsi="Times New Roman" w:eastAsia="Times New Roman" w:cs="Times New Roman"/>
        </w:rPr>
        <w:t>Demikianlah firman Tuhan, Berdirilah di jalan-jalan, dan lihatlah, dan tanyakanlah tentang jalan-jalan yang dahulu kala, di manakah jalan yang baik, dan berjalanlah di situ, maka kamu akan mendapat ketenteraman bagi jiwamu. Tetapi mereka berkata, Kami tidak mau berjalan di situ. Yeremia 6:16.</w:t>
      </w:r>
    </w:p>
    <w:p>
      <w:pPr>
        <w:pStyle w:val="ArticleBody"/>
        <w:jc w:val="left"/>
      </w:pPr>
      <w:r>
        <w:rPr>
          <w:rFonts w:ascii="Times New Roman" w:hAnsi="Times New Roman" w:eastAsia="Times New Roman" w:cs="Times New Roman"/>
        </w:rPr>
        <w:t>“</w:t>
      </w:r>
      <w:r>
        <w:rPr>
          <w:rFonts w:ascii="Nirmala UI" w:hAnsi="Nirmala UI" w:eastAsia="Nirmala UI" w:cs="Nirmala UI"/>
        </w:rPr>
        <w:t>ᱟᱨᱟᱢ</w:t>
      </w:r>
      <w:r>
        <w:rPr>
          <w:rFonts w:ascii="Times New Roman" w:hAnsi="Times New Roman" w:eastAsia="Times New Roman" w:cs="Times New Roman"/>
        </w:rPr>
        <w:t xml:space="preserve">” </w:t>
      </w:r>
      <w:r>
        <w:rPr>
          <w:rFonts w:ascii="Nirmala UI" w:hAnsi="Nirmala UI" w:eastAsia="Nirmala UI" w:cs="Nirmala UI"/>
        </w:rPr>
        <w:t>ᱡᱮᱛᱟᱜ</w:t>
      </w:r>
      <w:r>
        <w:rPr>
          <w:rFonts w:ascii="Times New Roman" w:hAnsi="Times New Roman" w:eastAsia="Times New Roman" w:cs="Times New Roman"/>
        </w:rPr>
        <w:t xml:space="preserve"> </w:t>
      </w:r>
      <w:r>
        <w:rPr>
          <w:rFonts w:ascii="Nirmala UI" w:hAnsi="Nirmala UI" w:eastAsia="Nirmala UI" w:cs="Nirmala UI"/>
        </w:rPr>
        <w:t>ᱡᱮᱨᱮᱢᱤᱭᱟ</w:t>
      </w:r>
      <w:r>
        <w:rPr>
          <w:rFonts w:ascii="Times New Roman" w:hAnsi="Times New Roman" w:eastAsia="Times New Roman" w:cs="Times New Roman"/>
        </w:rPr>
        <w:t xml:space="preserve"> </w:t>
      </w:r>
      <w:r>
        <w:rPr>
          <w:rFonts w:ascii="Nirmala UI" w:hAnsi="Nirmala UI" w:eastAsia="Nirmala UI" w:cs="Nirmala UI"/>
        </w:rPr>
        <w:t>ᱩᱫᱩᱜᱼᱟ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ᱢᱚᱦᱟᱱ</w:t>
      </w:r>
      <w:r>
        <w:rPr>
          <w:rFonts w:ascii="Times New Roman" w:hAnsi="Times New Roman" w:eastAsia="Times New Roman" w:cs="Times New Roman"/>
        </w:rPr>
        <w:t xml:space="preserve"> </w:t>
      </w:r>
      <w:r>
        <w:rPr>
          <w:rFonts w:ascii="Nirmala UI" w:hAnsi="Nirmala UI" w:eastAsia="Nirmala UI" w:cs="Nirmala UI"/>
        </w:rPr>
        <w:t>ᱛᱤᱥ</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ᱯᱟᱵᱤᱛᱨ</w:t>
      </w:r>
      <w:r>
        <w:rPr>
          <w:rFonts w:ascii="Times New Roman" w:hAnsi="Times New Roman" w:eastAsia="Times New Roman" w:cs="Times New Roman"/>
        </w:rPr>
        <w:t xml:space="preserve"> </w:t>
      </w:r>
      <w:r>
        <w:rPr>
          <w:rFonts w:ascii="Nirmala UI" w:hAnsi="Nirmala UI" w:eastAsia="Nirmala UI" w:cs="Nirmala UI"/>
        </w:rPr>
        <w:t>ᱟᱛᱢᱟ</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ᱟᱡᱤᱨ</w:t>
      </w:r>
      <w:r>
        <w:rPr>
          <w:rFonts w:ascii="Times New Roman" w:hAnsi="Times New Roman" w:eastAsia="Times New Roman" w:cs="Times New Roman"/>
        </w:rPr>
        <w:t xml:space="preserve"> </w:t>
      </w:r>
      <w:r>
        <w:rPr>
          <w:rFonts w:ascii="Nirmala UI" w:hAnsi="Nirmala UI" w:eastAsia="Nirmala UI" w:cs="Nirmala UI"/>
        </w:rPr>
        <w:t>ᱡᱷᱟᱨᱱᱟ</w:t>
      </w:r>
      <w:r>
        <w:rPr>
          <w:rFonts w:ascii="Times New Roman" w:hAnsi="Times New Roman" w:eastAsia="Times New Roman" w:cs="Times New Roman"/>
        </w:rPr>
        <w:t xml:space="preserve"> </w:t>
      </w:r>
      <w:r>
        <w:rPr>
          <w:rFonts w:ascii="Nirmala UI" w:hAnsi="Nirmala UI" w:eastAsia="Nirmala UI" w:cs="Nirmala UI"/>
        </w:rPr>
        <w:t>ᱢᱮᱱᱟᱜᱼᱟ।</w:t>
      </w:r>
      <w:r>
        <w:rPr>
          <w:rFonts w:ascii="Times New Roman" w:hAnsi="Times New Roman" w:eastAsia="Times New Roman" w:cs="Times New Roman"/>
        </w:rPr>
        <w:t xml:space="preserve"> </w:t>
      </w:r>
      <w:r>
        <w:rPr>
          <w:rFonts w:ascii="Nirmala UI" w:hAnsi="Nirmala UI" w:eastAsia="Nirmala UI" w:cs="Nirmala UI"/>
        </w:rPr>
        <w:t>ᱤᱱᱤᱡ</w:t>
      </w:r>
      <w:r>
        <w:rPr>
          <w:rFonts w:ascii="Times New Roman" w:hAnsi="Times New Roman" w:eastAsia="Times New Roman" w:cs="Times New Roman"/>
        </w:rPr>
        <w:t xml:space="preserve"> </w:t>
      </w:r>
      <w:r>
        <w:rPr>
          <w:rFonts w:ascii="Nirmala UI" w:hAnsi="Nirmala UI" w:eastAsia="Nirmala UI" w:cs="Nirmala UI"/>
        </w:rPr>
        <w:t>ᱫᱷᱟᱨᱟ</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ᱡᱮᱨᱮᱢᱤᱭᱟ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ᱢᱩᱨᱩᱠ</w:t>
      </w:r>
      <w:r>
        <w:rPr>
          <w:rFonts w:ascii="Times New Roman" w:hAnsi="Times New Roman" w:eastAsia="Times New Roman" w:cs="Times New Roman"/>
        </w:rPr>
        <w:t xml:space="preserve"> </w:t>
      </w:r>
      <w:r>
        <w:rPr>
          <w:rFonts w:ascii="Nirmala UI" w:hAnsi="Nirmala UI" w:eastAsia="Nirmala UI" w:cs="Nirmala UI"/>
        </w:rPr>
        <w:t>ᱠᱟᱹᱱᱭᱟᱹᱠᱩ</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ᱫᱚᱥᱟᱨ</w:t>
      </w:r>
      <w:r>
        <w:rPr>
          <w:rFonts w:ascii="Times New Roman" w:hAnsi="Times New Roman" w:eastAsia="Times New Roman" w:cs="Times New Roman"/>
        </w:rPr>
        <w:t xml:space="preserve"> </w:t>
      </w:r>
      <w:r>
        <w:rPr>
          <w:rFonts w:ascii="Nirmala UI" w:hAnsi="Nirmala UI" w:eastAsia="Nirmala UI" w:cs="Nirmala UI"/>
        </w:rPr>
        <w:t>ᱩᱫᱟᱦᱟᱨᱚᱱ</w:t>
      </w:r>
      <w:r>
        <w:rPr>
          <w:rFonts w:ascii="Times New Roman" w:hAnsi="Times New Roman" w:eastAsia="Times New Roman" w:cs="Times New Roman"/>
        </w:rPr>
        <w:t xml:space="preserve"> </w:t>
      </w:r>
      <w:r>
        <w:rPr>
          <w:rFonts w:ascii="Nirmala UI" w:hAnsi="Nirmala UI" w:eastAsia="Nirmala UI" w:cs="Nirmala UI"/>
        </w:rPr>
        <w:t>ᱮᱢᱼᱟᱭ</w:t>
      </w:r>
      <w:r>
        <w:rPr>
          <w:rFonts w:ascii="Times New Roman" w:hAnsi="Times New Roman" w:eastAsia="Times New Roman" w:cs="Times New Roman"/>
        </w:rPr>
        <w:t xml:space="preserve">, </w:t>
      </w:r>
      <w:r>
        <w:rPr>
          <w:rFonts w:ascii="Nirmala UI" w:hAnsi="Nirmala UI" w:eastAsia="Nirmala UI" w:cs="Nirmala UI"/>
        </w:rPr>
        <w:t>ᱡᱮᱠᱟᱱ</w:t>
      </w:r>
      <w:r>
        <w:rPr>
          <w:rFonts w:ascii="Times New Roman" w:hAnsi="Times New Roman" w:eastAsia="Times New Roman" w:cs="Times New Roman"/>
        </w:rPr>
        <w:t xml:space="preserve"> </w:t>
      </w:r>
      <w:r>
        <w:rPr>
          <w:rFonts w:ascii="Nirmala UI" w:hAnsi="Nirmala UI" w:eastAsia="Nirmala UI" w:cs="Nirmala UI"/>
        </w:rPr>
        <w:t>ᱟᱫᱽᱵᱷᱮᱱᱴᱤᱡᱢ</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ᱵᱩᱱᱤᱭᱟᱫ</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ᱢᱟᱨᱟᱝ</w:t>
      </w:r>
      <w:r>
        <w:rPr>
          <w:rFonts w:ascii="Times New Roman" w:hAnsi="Times New Roman" w:eastAsia="Times New Roman" w:cs="Times New Roman"/>
        </w:rPr>
        <w:t xml:space="preserve"> </w:t>
      </w:r>
      <w:r>
        <w:rPr>
          <w:rFonts w:ascii="Nirmala UI" w:hAnsi="Nirmala UI" w:eastAsia="Nirmala UI" w:cs="Nirmala UI"/>
        </w:rPr>
        <w:t>ᱦᱚᱨᱟᱠᱚ</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ᱨᱩᱟᱹᱲ</w:t>
      </w:r>
      <w:r>
        <w:rPr>
          <w:rFonts w:ascii="Times New Roman" w:hAnsi="Times New Roman" w:eastAsia="Times New Roman" w:cs="Times New Roman"/>
        </w:rPr>
        <w:t xml:space="preserve"> </w:t>
      </w:r>
      <w:r>
        <w:rPr>
          <w:rFonts w:ascii="Nirmala UI" w:hAnsi="Nirmala UI" w:eastAsia="Nirmala UI" w:cs="Nirmala UI"/>
        </w:rPr>
        <w:t>ᱦᱚᱪᱚ</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ᱟᱹᱰᱤ</w:t>
      </w:r>
      <w:r>
        <w:rPr>
          <w:rFonts w:ascii="Times New Roman" w:hAnsi="Times New Roman" w:eastAsia="Times New Roman" w:cs="Times New Roman"/>
        </w:rPr>
        <w:t xml:space="preserve"> </w:t>
      </w:r>
      <w:r>
        <w:rPr>
          <w:rFonts w:ascii="Nirmala UI" w:hAnsi="Nirmala UI" w:eastAsia="Nirmala UI" w:cs="Nirmala UI"/>
        </w:rPr>
        <w:t>ᱥᱟᱨᱦᱟᱣ</w:t>
      </w:r>
      <w:r>
        <w:rPr>
          <w:rFonts w:ascii="Times New Roman" w:hAnsi="Times New Roman" w:eastAsia="Times New Roman" w:cs="Times New Roman"/>
        </w:rPr>
        <w:t xml:space="preserve"> </w:t>
      </w:r>
      <w:r>
        <w:rPr>
          <w:rFonts w:ascii="Nirmala UI" w:hAnsi="Nirmala UI" w:eastAsia="Nirmala UI" w:cs="Nirmala UI"/>
        </w:rPr>
        <w:t>ᱞᱮᱱᱟ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ᱦᱚᱨᱟ</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ᱢᱟᱜᱮ</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ᱵᱟᱝ</w:t>
      </w:r>
      <w:r>
        <w:rPr>
          <w:rFonts w:ascii="Times New Roman" w:hAnsi="Times New Roman" w:eastAsia="Times New Roman" w:cs="Times New Roman"/>
        </w:rPr>
        <w:t xml:space="preserve"> </w:t>
      </w:r>
      <w:r>
        <w:rPr>
          <w:rFonts w:ascii="Nirmala UI" w:hAnsi="Nirmala UI" w:eastAsia="Nirmala UI" w:cs="Nirmala UI"/>
        </w:rPr>
        <w:t>ᱪᱟᱞᱟᱜᱼᱟ</w:t>
      </w:r>
      <w:r>
        <w:rPr>
          <w:rFonts w:ascii="Leelawadee UI" w:hAnsi="Leelawadee UI" w:eastAsia="Leelawadee UI" w:cs="Leelawadee UI"/>
        </w:rPr>
        <w:t>។</w:t>
      </w:r>
    </w:p>
    <w:p>
      <w:pPr>
        <w:pStyle w:val="ArticleScripture"/>
        <w:jc w:val="left"/>
      </w:pPr>
      <w:r>
        <w:rPr>
          <w:rFonts w:ascii="Myanmar Text" w:hAnsi="Myanmar Text" w:eastAsia="Myanmar Text" w:cs="Myanmar Text"/>
        </w:rPr>
        <w:t>ခင်ဗျားတို့အပေါ်၌လည်း</w:t>
      </w:r>
      <w:r>
        <w:rPr>
          <w:rFonts w:ascii="Times New Roman" w:hAnsi="Times New Roman" w:eastAsia="Times New Roman" w:cs="Times New Roman"/>
        </w:rPr>
        <w:t xml:space="preserve"> </w:t>
      </w:r>
      <w:r>
        <w:rPr>
          <w:rFonts w:ascii="Myanmar Text" w:hAnsi="Myanmar Text" w:eastAsia="Myanmar Text" w:cs="Myanmar Text"/>
        </w:rPr>
        <w:t>စောင့်ကြည့်သူများကို</w:t>
      </w:r>
      <w:r>
        <w:rPr>
          <w:rFonts w:ascii="Times New Roman" w:hAnsi="Times New Roman" w:eastAsia="Times New Roman" w:cs="Times New Roman"/>
        </w:rPr>
        <w:t xml:space="preserve"> </w:t>
      </w:r>
      <w:r>
        <w:rPr>
          <w:rFonts w:ascii="Myanmar Text" w:hAnsi="Myanmar Text" w:eastAsia="Myanmar Text" w:cs="Myanmar Text"/>
        </w:rPr>
        <w:t>ငါခန့်ထား၍၊</w:t>
      </w:r>
      <w:r>
        <w:rPr>
          <w:rFonts w:ascii="Times New Roman" w:hAnsi="Times New Roman" w:eastAsia="Times New Roman" w:cs="Times New Roman"/>
        </w:rPr>
        <w:t xml:space="preserve"> </w:t>
      </w:r>
      <w:r>
        <w:rPr>
          <w:rFonts w:ascii="Myanmar Text" w:hAnsi="Myanmar Text" w:eastAsia="Myanmar Text" w:cs="Myanmar Text"/>
        </w:rPr>
        <w:t>တံပိုးသံကို</w:t>
      </w:r>
      <w:r>
        <w:rPr>
          <w:rFonts w:ascii="Times New Roman" w:hAnsi="Times New Roman" w:eastAsia="Times New Roman" w:cs="Times New Roman"/>
        </w:rPr>
        <w:t xml:space="preserve"> </w:t>
      </w:r>
      <w:r>
        <w:rPr>
          <w:rFonts w:ascii="Myanmar Text" w:hAnsi="Myanmar Text" w:eastAsia="Myanmar Text" w:cs="Myanmar Text"/>
        </w:rPr>
        <w:t>နားထောင်ကြလော့ဟု</w:t>
      </w:r>
      <w:r>
        <w:rPr>
          <w:rFonts w:ascii="Times New Roman" w:hAnsi="Times New Roman" w:eastAsia="Times New Roman" w:cs="Times New Roman"/>
        </w:rPr>
        <w:t xml:space="preserve"> </w:t>
      </w:r>
      <w:r>
        <w:rPr>
          <w:rFonts w:ascii="Myanmar Text" w:hAnsi="Myanmar Text" w:eastAsia="Myanmar Text" w:cs="Myanmar Text"/>
        </w:rPr>
        <w:t>ဆို၏။</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ငါတို့</w:t>
      </w:r>
      <w:r>
        <w:rPr>
          <w:rFonts w:ascii="Times New Roman" w:hAnsi="Times New Roman" w:eastAsia="Times New Roman" w:cs="Times New Roman"/>
        </w:rPr>
        <w:t xml:space="preserve"> </w:t>
      </w:r>
      <w:r>
        <w:rPr>
          <w:rFonts w:ascii="Myanmar Text" w:hAnsi="Myanmar Text" w:eastAsia="Myanmar Text" w:cs="Myanmar Text"/>
        </w:rPr>
        <w:t>မနားထောင်ကြဟု</w:t>
      </w:r>
      <w:r>
        <w:rPr>
          <w:rFonts w:ascii="Times New Roman" w:hAnsi="Times New Roman" w:eastAsia="Times New Roman" w:cs="Times New Roman"/>
        </w:rPr>
        <w:t xml:space="preserve"> </w:t>
      </w:r>
      <w:r>
        <w:rPr>
          <w:rFonts w:ascii="Myanmar Text" w:hAnsi="Myanmar Text" w:eastAsia="Myanmar Text" w:cs="Myanmar Text"/>
        </w:rPr>
        <w:t>ဆိုကြ၏။</w:t>
      </w:r>
      <w:r>
        <w:rPr>
          <w:rFonts w:ascii="Times New Roman" w:hAnsi="Times New Roman" w:eastAsia="Times New Roman" w:cs="Times New Roman"/>
        </w:rPr>
        <w:t xml:space="preserve"> </w:t>
      </w:r>
      <w:r>
        <w:rPr>
          <w:rFonts w:ascii="Myanmar Text" w:hAnsi="Myanmar Text" w:eastAsia="Myanmar Text" w:cs="Myanmar Text"/>
        </w:rPr>
        <w:t>ယေရမိ</w:t>
      </w:r>
      <w:r>
        <w:rPr>
          <w:rFonts w:ascii="Times New Roman" w:hAnsi="Times New Roman" w:eastAsia="Times New Roman" w:cs="Times New Roman"/>
        </w:rPr>
        <w:t xml:space="preserve"> 6:17</w:t>
      </w:r>
    </w:p>
    <w:p>
      <w:pPr>
        <w:pStyle w:val="ArticleBody"/>
        <w:jc w:val="left"/>
      </w:pPr>
      <w:r>
        <w:rPr>
          <w:rFonts w:ascii="Times New Roman" w:hAnsi="Times New Roman" w:eastAsia="Times New Roman" w:cs="Times New Roman"/>
        </w:rPr>
        <w:t>Ha John a utloa lentsoe ka mor’a hae le mo lebisang litseleng tsa khale kapa metheong ea Adventisme, lentsoe leo a le utloang le joaloka terompeta. Lentsoe leo le fetisoa ka “balebeli” bao Molimo a ba behileng holim’a Adventisme. Ntate Miller e ne e le molebeli ea ileng a letsa terompeta ea temoso qalong ea Adventisme nakong ea phatlalatso ea lengeloi la pele le neng le tsebisa ho buloa ha kahlolo. Empa ka ho khetheha Johanne o emela ba phatlalatsang molaetsa oa lengeloi la boraro o tsebisang ho koaloa ha kahlolo. O emela ba khutlelang metheong eo Molimo a e thehileng ka mosebetsi oa Miller.</w:t>
      </w:r>
    </w:p>
    <w:p>
      <w:pPr>
        <w:pStyle w:val="ArticleBody"/>
        <w:jc w:val="left"/>
      </w:pPr>
      <w:r>
        <w:rPr>
          <w:rFonts w:ascii="Times New Roman" w:hAnsi="Times New Roman" w:eastAsia="Times New Roman" w:cs="Times New Roman"/>
        </w:rPr>
        <w:t>Nisi tsie u ka pyni bunsien lyngba ki snem, (bad lah ban shem ia kane ha ki Miej u Habakkuk), ba ka khubor jong u angel uba nyngkong “sheptieng ia U Blei” ka long ban pynrem ia ka pop, bad ba ka khubor jong u angel uba ar ka dei hangta ba la pynpaw ia ka hok, bad uba lai u ithuh ia ka jingbishar. Kine ki dei ki lai tylli ki jingjam jong ki lai angel bad ruh ki lai tylli ki jingjam jong ka kam jong U Mynsiem Bakhuid. Kitei ki lai tylli ki jingjam la mihkhmat ruh da ki lai tylli ki dak Hebrew kiba thaw ia ka kyntien Hebrew kaba la pynkylla kum ka “jingshisha.” Ha ka dkhot na Ioannis khat hynriew, U Jisu u kren shaphang ka kam jong U Mynsiem Bakhuid ha ka jingialam ia ki briew jong U Blei sha “ka jingshisha baroh,” katba U dang pyni ruh ha ki ia “kiei kiei kiba dang wan.” Hynrei U Jisu u ong ba U don “shibun kiei kiei ban ong ha phi, hynrei phim pat lah ban kit mynta.”</w:t>
      </w:r>
    </w:p>
    <w:p>
      <w:pPr>
        <w:pStyle w:val="ArticleBody"/>
        <w:jc w:val="left"/>
      </w:pPr>
      <w:r>
        <w:rPr>
          <w:rFonts w:ascii="Times New Roman" w:hAnsi="Times New Roman" w:eastAsia="Times New Roman" w:cs="Times New Roman"/>
        </w:rPr>
        <w:t>Saya berharap anda telah memahami sebahagian daripada makna penting perkataan Ibrani yang diterjemahkan sebagai “kebenaran.” Kerana kita baru sahaja mula menerapkan simbol itu dalam kajian kita. Dalam tiga ayat pertama Wahyu satu, proses komunikasi antara Tuhan dan manusia dikenal pasti. Ia dikenal pasti bahkan sebelum Wahyu mengenal pasti sifat tiga serangkai Keallahan. Ia mendapat saksi yang kedua dalam ayat-ayat terakhir Wahyu, dan dengan berbuat demikian, berdasarkan penerapan “baris demi baris” ia menghasilkan lebih banyak terang.</w:t>
      </w:r>
    </w:p>
    <w:p>
      <w:pPr>
        <w:pStyle w:val="ArticleBody"/>
        <w:jc w:val="left"/>
      </w:pPr>
      <w:r>
        <w:rPr>
          <w:rFonts w:ascii="Times New Roman" w:hAnsi="Times New Roman" w:eastAsia="Times New Roman" w:cs="Times New Roman"/>
        </w:rPr>
        <w:t>Jadi apabila kita menambahkan Kejadian 1:1–2:3, kita mendapati satu saksi yang ketiga dan satu lagi garis kenabian untuk diletakkan di atas dua garis yang terdahulu pada permulaan dan pengakhiran Wahyu.</w:t>
      </w:r>
    </w:p>
    <w:p>
      <w:pPr>
        <w:pStyle w:val="ArticleBody"/>
        <w:jc w:val="left"/>
      </w:pPr>
      <w:r>
        <w:rPr>
          <w:rFonts w:ascii="Leelawadee UI" w:hAnsi="Leelawadee UI" w:eastAsia="Leelawadee UI" w:cs="Leelawadee UI"/>
        </w:rPr>
        <w:t>ពេលនោះយើងបន្ថែមព្រះសន្យាចុងក្រោយនៅក្នុងព្រះគម្ពីរសញ្ញាចាស់</w:t>
      </w:r>
      <w:r>
        <w:rPr>
          <w:rFonts w:ascii="Times New Roman" w:hAnsi="Times New Roman" w:eastAsia="Times New Roman" w:cs="Times New Roman"/>
        </w:rPr>
        <w:t xml:space="preserve"> </w:t>
      </w:r>
      <w:r>
        <w:rPr>
          <w:rFonts w:ascii="Leelawadee UI" w:hAnsi="Leelawadee UI" w:eastAsia="Leelawadee UI" w:cs="Leelawadee UI"/>
        </w:rPr>
        <w:t>ដែលកំណត់អត្តសញ្ញាណអេលីយ៉ាដែលនឹងមក</w:t>
      </w:r>
      <w:r>
        <w:rPr>
          <w:rFonts w:ascii="Times New Roman" w:hAnsi="Times New Roman" w:eastAsia="Times New Roman" w:cs="Times New Roman"/>
        </w:rPr>
        <w:t xml:space="preserve"> </w:t>
      </w:r>
      <w:r>
        <w:rPr>
          <w:rFonts w:ascii="Leelawadee UI" w:hAnsi="Leelawadee UI" w:eastAsia="Leelawadee UI" w:cs="Leelawadee UI"/>
        </w:rPr>
        <w:t>ហើយយើងមានបន្ទាត់ទំនាយបួន។</w:t>
      </w:r>
    </w:p>
    <w:p>
      <w:pPr>
        <w:pStyle w:val="ArticleBody"/>
        <w:jc w:val="left"/>
      </w:pPr>
      <w:r>
        <w:rPr>
          <w:rFonts w:ascii="Times New Roman" w:hAnsi="Times New Roman" w:eastAsia="Times New Roman" w:cs="Times New Roman"/>
        </w:rPr>
        <w:t>Nipo tunaongeza sura ya kwanza ya Agano Jipya, na tunapata mistari mitano ya kuikusanya pamoja ili kupata ujumbe wa mwisho kabisa unaopatikana katika Biblia tunapotumia kanuni ya Alfa na Omega kwa mistari yote. Ikiwa tungeikamilisha mistari hiyo mitano ambayo tayari tumeitambua, kwa kutumia kanuni hiyo kwa jumla katika mistari hiyo mitano, basi tunapaswa kutarajia kuona mwisho wa Mathayo na mwisho wa Yohana vikishuhudia habari ileile ambayo mistari yote mitano ya kinabii ya “kwanza na mwisho” tunayoizingatia inashuhudia.</w:t>
      </w:r>
    </w:p>
    <w:p>
      <w:pPr>
        <w:pStyle w:val="ArticleBody"/>
        <w:jc w:val="left"/>
      </w:pPr>
      <w:r>
        <w:rPr>
          <w:rFonts w:ascii="Times New Roman" w:hAnsi="Times New Roman" w:eastAsia="Times New Roman" w:cs="Times New Roman"/>
        </w:rPr>
        <w:t>Mesej yang sedang dibuka meterainya telah ditegakkan dalam kitab Wahyu, maka kitab itu menjadi titik rujukan bagi garis-garis yang lain, selaras dengan Sister White yang memberitahu kita bahawa “semua kitab dalam Alkitab bertemu dan berakhir dalam Wahyu.” Mesej dalam tiga ayat pertama kitab Wahyu mengenal pasti proses yang Allah gunakan untuk menyampaikan firman-Nya kepada Yohanes supaya dituliskan dan dihantar kepada jemaat-jemaat. Kitab pertama dalam Perjanjian Baru, sebagaimana telah diperhatikan, mengemukakan salasilah Yesus Kristus dan ia bermula dengan satu perkara yang sangat sarat makna.</w:t>
      </w:r>
    </w:p>
    <w:p>
      <w:pPr>
        <w:pStyle w:val="ArticleScripture"/>
        <w:jc w:val="left"/>
      </w:pPr>
      <w:r>
        <w:rPr>
          <w:rFonts w:ascii="Times New Roman" w:hAnsi="Times New Roman" w:eastAsia="Times New Roman" w:cs="Times New Roman"/>
        </w:rPr>
        <w:t>Buku ya moloko wa Jesu Kreste, morwa Dafita, morwa Aborahama. Mathaio 1:1.</w:t>
      </w:r>
    </w:p>
    <w:p>
      <w:pPr>
        <w:pStyle w:val="ArticleBody"/>
        <w:jc w:val="left"/>
      </w:pPr>
      <w:r>
        <w:rPr>
          <w:rFonts w:ascii="Times New Roman" w:hAnsi="Times New Roman" w:eastAsia="Times New Roman" w:cs="Times New Roman"/>
        </w:rPr>
        <w:t>Yesus menamatkan interaksi langsung-Nya dengan orang-orang Yahudi yang suka berbantah-bantahan itu dengan membungkam mereka melalui pokok bahasan “anak Daud,” suatu pokok bahasan yang hanya dapat dipahami oleh orang-orang Yahudi apabila mereka memahami prinsip alkitabiah tentang permulaan dan pengakhiran. Mereka tidak memahaminya, dan kebanyakan orang Advent pun tidak. Siapa pun yang ingin membantah prinsip bahwa sejarah berulang sedang menunjukkan bahwa mereka tidak memahami bahwa Israel purba melambangkan Israel modern, dan keengganan mereka untuk mempercayai prinsip itu adalah keengganan yang sama persis seperti keengganan pada akhir sejarah Israel purba untuk memahami prinsip yang sama. Yesus menyatakan prinsip itu dalam teka-teki terakhir-Nya kepada orang-orang Yahudi dengan mengarahkan mereka kepada teka-teki tentang bagaimana Tuhan Daud juga dapat menjadi anak Daud?</w:t>
      </w:r>
    </w:p>
    <w:p>
      <w:pPr>
        <w:pStyle w:val="ArticleBody"/>
        <w:jc w:val="left"/>
      </w:pPr>
      <w:r>
        <w:rPr>
          <w:rFonts w:ascii="Times New Roman" w:hAnsi="Times New Roman" w:eastAsia="Times New Roman" w:cs="Times New Roman"/>
        </w:rPr>
        <w:t>Yohane kgaolo ya pele, e bontšha gore mathomong Lentšu le be le na le Modimo, gomme Lentšu ke Modimo, e bile Lentšu le hlotše dilo tšohle. Se, ge e le gabotse, se dumelelana le methaladi e mengwe yeo re bolelago ka yona. Gomme ge re ka ela hloko mantšu a mafelelo ka Ebangeding ya Yohane, re bona Petro, ka morago ga go kwa Jesu a hlalosa kamoo a bego a tla hwa ka gona, a botšiša Jesu gore go be go tla direga eng ka moapostola Yohane.</w:t>
      </w:r>
    </w:p>
    <w:p>
      <w:pPr>
        <w:pStyle w:val="ArticleScripture"/>
        <w:jc w:val="left"/>
      </w:pPr>
      <w:r>
        <w:rPr>
          <w:rFonts w:ascii="Times New Roman" w:hAnsi="Times New Roman" w:eastAsia="Times New Roman" w:cs="Times New Roman"/>
        </w:rPr>
        <w:t>Petrus memandang dia lalu berkata kepada Yesus, “Tuhan, bagaimana pula dengan orang ini?” Yesus berkata kepadanya, “Jika Aku menghendaki supaya ia tetap hidup sampai Aku datang, apakah urusanmu dengan itu? Ikutlah Aku.” Maka tersebarlah perkataan itu di antara saudara-saudara, bahawa murid itu tidak akan mati. Namun Yesus tidak berkata kepadanya bahawa ia tidak akan mati, melainkan, “Jika Aku menghendaki supaya ia tetap hidup sampai Aku datang, apakah urusanmu dengan itu?” Dialah murid yang memberi kesaksian tentang semuanya ini dan yang telah menuliskan semuanya ini; dan kita tahu bahawa kesaksiannya itu benar. Masih ada banyak perkara lain juga yang dilakukan oleh Yesus, yang jika dituliskan satu demi satu, aku berpendapat bahawa dunia ini sendiri pun tidak akan dapat memuatkan kitab-kitab yang akan dituliskan itu. Amin. Yohanes 21:21–25.</w:t>
      </w:r>
    </w:p>
    <w:p>
      <w:pPr>
        <w:pStyle w:val="ArticleBody"/>
        <w:jc w:val="left"/>
      </w:pPr>
      <w:r>
        <w:rPr>
          <w:rFonts w:ascii="Times New Roman" w:hAnsi="Times New Roman" w:eastAsia="Times New Roman" w:cs="Times New Roman"/>
        </w:rPr>
        <w:t>Peter ingin mengetahui bagaimana Yohanes akan mati, atau bahkan apakah Yohanes akan mati. Jawapannya diulangi dua kali dalam petikan itu apabila Yesus menyatakannya dan kemudian Yohanes mengulanginya, “Jika Aku menghendaki dia [Yohanes] tetap tinggal sampai Aku datang, apakah itu bagimu?” Yohanes memang hidup sampai Kedatangan Yesus yang Kedua.</w:t>
      </w:r>
    </w:p>
    <w:p>
      <w:pPr>
        <w:pStyle w:val="ArticleBody"/>
        <w:jc w:val="left"/>
      </w:pPr>
      <w:r>
        <w:rPr>
          <w:rFonts w:ascii="Times New Roman" w:hAnsi="Times New Roman" w:eastAsia="Times New Roman" w:cs="Times New Roman"/>
        </w:rPr>
        <w:t>ꞌNáh anį́į́h dóó nílį́įgo “tʼáá hwóʼ ají tʼéego bee haneʼ” nisin nídoolzinígo biniiyé; dóó ałtsé haneʼígíí nááná ályaałgo, nihookááʼjįʼ áádóó bikáaʼgi doo bikáaʼgo da, íiyisí yáhootʼéego. Nihookááʼ biniiyéígíí áko John hólǫ́ yáhootʼéego, Revelation biyiʼ yáʼátʼééhígíí bikʼeʼeshchį́į́dgo. John gospel biyiʼ akéídi naaltsoosígíí, áádóó átʼéego haneʼ ałtsé dóó nihookááʼjįʼ hólǫ́ǫgo kʼad hózhǫ́ǫgo, áko John haneʼ biyiʼ łahgo yikááʼadahwiilwoʼígíí, Second Coming nitisgo bee hodooniłígíí biyiʼ, áádóó nihiká adáhodíílnihígíí, tʼáá ajiłiiʼígíí final warning message yádaatʼééhígíí biyiʼ adáhodíílnihgo, éí messageígíí churches deeskʼą́ą́d.</w:t>
      </w:r>
    </w:p>
    <w:p>
      <w:pPr>
        <w:pStyle w:val="ArticleScripture"/>
        <w:jc w:val="left"/>
      </w:pPr>
      <w:r>
        <w:rPr>
          <w:rFonts w:ascii="Times New Roman" w:hAnsi="Times New Roman" w:eastAsia="Times New Roman" w:cs="Times New Roman"/>
        </w:rPr>
        <w:t>“Ndzi ku nga masiku ya Vakreste va le ku sunguleni, Kreste u tile ra vumbirhi. Ku vuya kakwe ko sungula a ku ri eBetlehema, loko A tile tanihi ricece. Ku vuya kakwe ka vumbirhi a ku ri eXihlengeni xa Patmosi, loko A tikombisile hi ku vangama eka Yohane Mukombuluxi, loyi ‘a weke emilengeni Yakwe onge u file’ loko a N'wi vona. Kambe Kreste u n'wi tiyisile leswaku a kota ku tiyisela ku N'wi vona, kutani endzhaku a n'wi nyika rungula leri a faneleke ku ri tsalela tikereke ta Asia, lava mavito ya tona ma hlamuselaka swihlawulekisi swa kereke yin'wana ni yin'wana.”</w:t>
      </w:r>
    </w:p>
    <w:p>
      <w:pPr>
        <w:pStyle w:val="ArticleScripture"/>
        <w:jc w:val="left"/>
      </w:pPr>
      <w:r>
        <w:rPr>
          <w:rFonts w:ascii="Times New Roman" w:hAnsi="Times New Roman" w:eastAsia="Times New Roman" w:cs="Times New Roman"/>
        </w:rPr>
        <w:t>“</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দাস</w:t>
      </w:r>
      <w:r>
        <w:rPr>
          <w:rFonts w:ascii="Times New Roman" w:hAnsi="Times New Roman" w:eastAsia="Times New Roman" w:cs="Times New Roman"/>
        </w:rPr>
        <w:t xml:space="preserve"> </w:t>
      </w:r>
      <w:r>
        <w:rPr>
          <w:rFonts w:ascii="Nirmala UI" w:hAnsi="Nirmala UI" w:eastAsia="Nirmala UI" w:cs="Nirmala UI"/>
        </w:rPr>
        <w:t>ভাববাদীর</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খ্রিষ্ট</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আলো</w:t>
      </w:r>
      <w:r>
        <w:rPr>
          <w:rFonts w:ascii="Times New Roman" w:hAnsi="Times New Roman" w:eastAsia="Times New Roman" w:cs="Times New Roman"/>
        </w:rPr>
        <w:t xml:space="preserve"> </w:t>
      </w:r>
      <w:r>
        <w:rPr>
          <w:rFonts w:ascii="Nirmala UI" w:hAnsi="Nirmala UI" w:eastAsia="Nirmala UI" w:cs="Nirmala UI"/>
        </w:rPr>
        <w:t>প্রকাশ</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দূতের</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প্রদান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দূতের</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বর্ণনাও</w:t>
      </w:r>
      <w:r>
        <w:rPr>
          <w:rFonts w:ascii="Times New Roman" w:hAnsi="Times New Roman" w:eastAsia="Times New Roman" w:cs="Times New Roman"/>
        </w:rPr>
        <w:t xml:space="preserve"> </w:t>
      </w:r>
      <w:r>
        <w:rPr>
          <w:rFonts w:ascii="Nirmala UI" w:hAnsi="Nirmala UI" w:eastAsia="Nirmala UI" w:cs="Nirmala UI"/>
        </w:rPr>
        <w:t>দেওয়া</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মহাশক্তি</w:t>
      </w:r>
      <w:r>
        <w:rPr>
          <w:rFonts w:ascii="Times New Roman" w:hAnsi="Times New Roman" w:eastAsia="Times New Roman" w:cs="Times New Roman"/>
        </w:rPr>
        <w:t xml:space="preserve"> </w:t>
      </w:r>
      <w:r>
        <w:rPr>
          <w:rFonts w:ascii="Nirmala UI" w:hAnsi="Nirmala UI" w:eastAsia="Nirmala UI" w:cs="Nirmala UI"/>
        </w:rPr>
        <w:t>সহকারে</w:t>
      </w:r>
      <w:r>
        <w:rPr>
          <w:rFonts w:ascii="Times New Roman" w:hAnsi="Times New Roman" w:eastAsia="Times New Roman" w:cs="Times New Roman"/>
        </w:rPr>
        <w:t xml:space="preserve"> </w:t>
      </w:r>
      <w:r>
        <w:rPr>
          <w:rFonts w:ascii="Nirmala UI" w:hAnsi="Nirmala UI" w:eastAsia="Nirmala UI" w:cs="Nirmala UI"/>
        </w:rPr>
        <w:t>স্বর্গ</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অবতীর্ণ</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নিজের</w:t>
      </w:r>
      <w:r>
        <w:rPr>
          <w:rFonts w:ascii="Times New Roman" w:hAnsi="Times New Roman" w:eastAsia="Times New Roman" w:cs="Times New Roman"/>
        </w:rPr>
        <w:t xml:space="preserve"> </w:t>
      </w:r>
      <w:r>
        <w:rPr>
          <w:rFonts w:ascii="Nirmala UI" w:hAnsi="Nirmala UI" w:eastAsia="Nirmala UI" w:cs="Nirmala UI"/>
        </w:rPr>
        <w:t>মহিমায়</w:t>
      </w:r>
      <w:r>
        <w:rPr>
          <w:rFonts w:ascii="Times New Roman" w:hAnsi="Times New Roman" w:eastAsia="Times New Roman" w:cs="Times New Roman"/>
        </w:rPr>
        <w:t xml:space="preserve"> </w:t>
      </w:r>
      <w:r>
        <w:rPr>
          <w:rFonts w:ascii="Nirmala UI" w:hAnsi="Nirmala UI" w:eastAsia="Nirmala UI" w:cs="Nirmala UI"/>
        </w:rPr>
        <w:t>পৃথিবীকে</w:t>
      </w:r>
      <w:r>
        <w:rPr>
          <w:rFonts w:ascii="Times New Roman" w:hAnsi="Times New Roman" w:eastAsia="Times New Roman" w:cs="Times New Roman"/>
        </w:rPr>
        <w:t xml:space="preserve"> </w:t>
      </w:r>
      <w:r>
        <w:rPr>
          <w:rFonts w:ascii="Nirmala UI" w:hAnsi="Nirmala UI" w:eastAsia="Nirmala UI" w:cs="Nirmala UI"/>
        </w:rPr>
        <w:t>আলোকিত</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এতে</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দুষ্টতা</w:t>
      </w:r>
      <w:r>
        <w:rPr>
          <w:rFonts w:ascii="Times New Roman" w:hAnsi="Times New Roman" w:eastAsia="Times New Roman" w:cs="Times New Roman"/>
        </w:rPr>
        <w:t xml:space="preserve"> </w:t>
      </w:r>
      <w:r>
        <w:rPr>
          <w:rFonts w:ascii="Nirmala UI" w:hAnsi="Nirmala UI" w:eastAsia="Nirmala UI" w:cs="Nirmala UI"/>
        </w:rPr>
        <w:t>বিদ্যমান</w:t>
      </w:r>
      <w:r>
        <w:rPr>
          <w:rFonts w:ascii="Times New Roman" w:hAnsi="Times New Roman" w:eastAsia="Times New Roman" w:cs="Times New Roman"/>
        </w:rPr>
        <w:t xml:space="preserve"> </w:t>
      </w:r>
      <w:r>
        <w:rPr>
          <w:rFonts w:ascii="Nirmala UI" w:hAnsi="Nirmala UI" w:eastAsia="Nirmala UI" w:cs="Nirmala UI"/>
        </w:rPr>
        <w:t>থাকবে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পশুর</w:t>
      </w:r>
      <w:r>
        <w:rPr>
          <w:rFonts w:ascii="Times New Roman" w:hAnsi="Times New Roman" w:eastAsia="Times New Roman" w:cs="Times New Roman"/>
        </w:rPr>
        <w:t xml:space="preserve"> </w:t>
      </w:r>
      <w:r>
        <w:rPr>
          <w:rFonts w:ascii="Nirmala UI" w:hAnsi="Nirmala UI" w:eastAsia="Nirmala UI" w:cs="Nirmala UI"/>
        </w:rPr>
        <w:t>ছাপের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সতর্কবাণী</w:t>
      </w:r>
      <w:r>
        <w:rPr>
          <w:rFonts w:ascii="Times New Roman" w:hAnsi="Times New Roman" w:eastAsia="Times New Roman" w:cs="Times New Roman"/>
        </w:rPr>
        <w:t xml:space="preserve"> </w:t>
      </w:r>
      <w:r>
        <w:rPr>
          <w:rFonts w:ascii="Nirmala UI" w:hAnsi="Nirmala UI" w:eastAsia="Nirmala UI" w:cs="Nirmala UI"/>
        </w:rPr>
        <w:t>রয়েছে।</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কেবল</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পড়ে</w:t>
      </w:r>
      <w:r>
        <w:rPr>
          <w:rFonts w:ascii="Times New Roman" w:hAnsi="Times New Roman" w:eastAsia="Times New Roman" w:cs="Times New Roman"/>
        </w:rPr>
        <w:t xml:space="preserve"> </w:t>
      </w:r>
      <w:r>
        <w:rPr>
          <w:rFonts w:ascii="Nirmala UI" w:hAnsi="Nirmala UI" w:eastAsia="Nirmala UI" w:cs="Nirmala UI"/>
        </w:rPr>
        <w:t>বুঝলেই</w:t>
      </w:r>
      <w:r>
        <w:rPr>
          <w:rFonts w:ascii="Times New Roman" w:hAnsi="Times New Roman" w:eastAsia="Times New Roman" w:cs="Times New Roman"/>
        </w:rPr>
        <w:t xml:space="preserve"> </w:t>
      </w:r>
      <w:r>
        <w:rPr>
          <w:rFonts w:ascii="Nirmala UI" w:hAnsi="Nirmala UI" w:eastAsia="Nirmala UI" w:cs="Nirmala UI"/>
        </w:rPr>
        <w:t>চলবে</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বরং</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অনিশ্চিত</w:t>
      </w:r>
      <w:r>
        <w:rPr>
          <w:rFonts w:ascii="Times New Roman" w:hAnsi="Times New Roman" w:eastAsia="Times New Roman" w:cs="Times New Roman"/>
        </w:rPr>
        <w:t xml:space="preserve"> </w:t>
      </w:r>
      <w:r>
        <w:rPr>
          <w:rFonts w:ascii="Nirmala UI" w:hAnsi="Nirmala UI" w:eastAsia="Nirmala UI" w:cs="Nirmala UI"/>
        </w:rPr>
        <w:t>ধ্বনি</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স্পষ্ট</w:t>
      </w:r>
      <w:r>
        <w:rPr>
          <w:rFonts w:ascii="Times New Roman" w:hAnsi="Times New Roman" w:eastAsia="Times New Roman" w:cs="Times New Roman"/>
        </w:rPr>
        <w:t xml:space="preserve"> </w:t>
      </w:r>
      <w:r>
        <w:rPr>
          <w:rFonts w:ascii="Nirmala UI" w:hAnsi="Nirmala UI" w:eastAsia="Nirmala UI" w:cs="Nirmala UI"/>
        </w:rPr>
        <w:t>স্বরে</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জগতের</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ঘোষণা</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যোহনের</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বিষয়গুলি</w:t>
      </w:r>
      <w:r>
        <w:rPr>
          <w:rFonts w:ascii="Times New Roman" w:hAnsi="Times New Roman" w:eastAsia="Times New Roman" w:cs="Times New Roman"/>
        </w:rPr>
        <w:t xml:space="preserve"> </w:t>
      </w:r>
      <w:r>
        <w:rPr>
          <w:rFonts w:ascii="Nirmala UI" w:hAnsi="Nirmala UI" w:eastAsia="Nirmala UI" w:cs="Nirmala UI"/>
        </w:rPr>
        <w:t>উপস্থাপন</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মাধ্যমে</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জনগণকে</w:t>
      </w:r>
      <w:r>
        <w:rPr>
          <w:rFonts w:ascii="Times New Roman" w:hAnsi="Times New Roman" w:eastAsia="Times New Roman" w:cs="Times New Roman"/>
        </w:rPr>
        <w:t xml:space="preserve"> </w:t>
      </w:r>
      <w:r>
        <w:rPr>
          <w:rFonts w:ascii="Nirmala UI" w:hAnsi="Nirmala UI" w:eastAsia="Nirmala UI" w:cs="Nirmala UI"/>
        </w:rPr>
        <w:t>আলোড়িত</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সক্ষম</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Manuscript Releases, </w:t>
      </w:r>
      <w:r>
        <w:rPr>
          <w:rFonts w:ascii="Nirmala UI" w:hAnsi="Nirmala UI" w:eastAsia="Nirmala UI" w:cs="Nirmala UI"/>
        </w:rPr>
        <w:t>খণ্ড</w:t>
      </w:r>
      <w:r>
        <w:rPr>
          <w:rFonts w:ascii="Times New Roman" w:hAnsi="Times New Roman" w:eastAsia="Times New Roman" w:cs="Times New Roman"/>
        </w:rPr>
        <w:t xml:space="preserve"> </w:t>
      </w:r>
      <w:r>
        <w:rPr>
          <w:rFonts w:ascii="Nirmala UI" w:hAnsi="Nirmala UI" w:eastAsia="Nirmala UI" w:cs="Nirmala UI"/>
        </w:rPr>
        <w:t>১৯</w:t>
      </w:r>
      <w:r>
        <w:rPr>
          <w:rFonts w:ascii="Times New Roman" w:hAnsi="Times New Roman" w:eastAsia="Times New Roman" w:cs="Times New Roman"/>
        </w:rPr>
        <w:t xml:space="preserve">, </w:t>
      </w:r>
      <w:r>
        <w:rPr>
          <w:rFonts w:ascii="Nirmala UI" w:hAnsi="Nirmala UI" w:eastAsia="Nirmala UI" w:cs="Nirmala UI"/>
        </w:rPr>
        <w:t>৪১।</w:t>
      </w:r>
    </w:p>
    <w:p>
      <w:pPr>
        <w:pStyle w:val="ArticleBody"/>
        <w:jc w:val="left"/>
      </w:pPr>
      <w:r>
        <w:rPr>
          <w:rFonts w:ascii="Nirmala UI" w:hAnsi="Nirmala UI" w:eastAsia="Nirmala UI" w:cs="Nirmala UI"/>
        </w:rPr>
        <w:t>तोंग्टा</w:t>
      </w:r>
      <w:r>
        <w:rPr>
          <w:rFonts w:ascii="Times New Roman" w:hAnsi="Times New Roman" w:eastAsia="Times New Roman" w:cs="Times New Roman"/>
        </w:rPr>
        <w:t xml:space="preserve"> </w:t>
      </w:r>
      <w:r>
        <w:rPr>
          <w:rFonts w:ascii="Nirmala UI" w:hAnsi="Nirmala UI" w:eastAsia="Nirmala UI" w:cs="Nirmala UI"/>
        </w:rPr>
        <w:t>यूहानजों</w:t>
      </w:r>
      <w:r>
        <w:rPr>
          <w:rFonts w:ascii="Times New Roman" w:hAnsi="Times New Roman" w:eastAsia="Times New Roman" w:cs="Times New Roman"/>
        </w:rPr>
        <w:t xml:space="preserve"> </w:t>
      </w:r>
      <w:r>
        <w:rPr>
          <w:rFonts w:ascii="Nirmala UI" w:hAnsi="Nirmala UI" w:eastAsia="Nirmala UI" w:cs="Nirmala UI"/>
        </w:rPr>
        <w:t>सुसमाचारनि</w:t>
      </w:r>
      <w:r>
        <w:rPr>
          <w:rFonts w:ascii="Times New Roman" w:hAnsi="Times New Roman" w:eastAsia="Times New Roman" w:cs="Times New Roman"/>
        </w:rPr>
        <w:t xml:space="preserve"> </w:t>
      </w:r>
      <w:r>
        <w:rPr>
          <w:rFonts w:ascii="Nirmala UI" w:hAnsi="Nirmala UI" w:eastAsia="Nirmala UI" w:cs="Nirmala UI"/>
        </w:rPr>
        <w:t>जोबोदां</w:t>
      </w:r>
      <w:r>
        <w:rPr>
          <w:rFonts w:ascii="Times New Roman" w:hAnsi="Times New Roman" w:eastAsia="Times New Roman" w:cs="Times New Roman"/>
        </w:rPr>
        <w:t xml:space="preserve"> </w:t>
      </w:r>
      <w:r>
        <w:rPr>
          <w:rFonts w:ascii="Nirmala UI" w:hAnsi="Nirmala UI" w:eastAsia="Nirmala UI" w:cs="Nirmala UI"/>
        </w:rPr>
        <w:t>रेबेलेशोननि</w:t>
      </w:r>
      <w:r>
        <w:rPr>
          <w:rFonts w:ascii="Times New Roman" w:hAnsi="Times New Roman" w:eastAsia="Times New Roman" w:cs="Times New Roman"/>
        </w:rPr>
        <w:t xml:space="preserve"> </w:t>
      </w:r>
      <w:r>
        <w:rPr>
          <w:rFonts w:ascii="Nirmala UI" w:hAnsi="Nirmala UI" w:eastAsia="Nirmala UI" w:cs="Nirmala UI"/>
        </w:rPr>
        <w:t>सिगांथाम</w:t>
      </w:r>
      <w:r>
        <w:rPr>
          <w:rFonts w:ascii="Times New Roman" w:hAnsi="Times New Roman" w:eastAsia="Times New Roman" w:cs="Times New Roman"/>
        </w:rPr>
        <w:t xml:space="preserve"> </w:t>
      </w:r>
      <w:r>
        <w:rPr>
          <w:rFonts w:ascii="Nirmala UI" w:hAnsi="Nirmala UI" w:eastAsia="Nirmala UI" w:cs="Nirmala UI"/>
        </w:rPr>
        <w:t>थाम</w:t>
      </w:r>
      <w:r>
        <w:rPr>
          <w:rFonts w:ascii="Times New Roman" w:hAnsi="Times New Roman" w:eastAsia="Times New Roman" w:cs="Times New Roman"/>
        </w:rPr>
        <w:t xml:space="preserve"> </w:t>
      </w:r>
      <w:r>
        <w:rPr>
          <w:rFonts w:ascii="Nirmala UI" w:hAnsi="Nirmala UI" w:eastAsia="Nirmala UI" w:cs="Nirmala UI"/>
        </w:rPr>
        <w:t>श्लोकाव</w:t>
      </w:r>
      <w:r>
        <w:rPr>
          <w:rFonts w:ascii="Times New Roman" w:hAnsi="Times New Roman" w:eastAsia="Times New Roman" w:cs="Times New Roman"/>
        </w:rPr>
        <w:t xml:space="preserve"> </w:t>
      </w:r>
      <w:r>
        <w:rPr>
          <w:rFonts w:ascii="Nirmala UI" w:hAnsi="Nirmala UI" w:eastAsia="Nirmala UI" w:cs="Nirmala UI"/>
        </w:rPr>
        <w:t>संजोग</w:t>
      </w:r>
      <w:r>
        <w:rPr>
          <w:rFonts w:ascii="Times New Roman" w:hAnsi="Times New Roman" w:eastAsia="Times New Roman" w:cs="Times New Roman"/>
        </w:rPr>
        <w:t xml:space="preserve"> </w:t>
      </w:r>
      <w:r>
        <w:rPr>
          <w:rFonts w:ascii="Nirmala UI" w:hAnsi="Nirmala UI" w:eastAsia="Nirmala UI" w:cs="Nirmala UI"/>
        </w:rPr>
        <w:t>होनाय</w:t>
      </w:r>
      <w:r>
        <w:rPr>
          <w:rFonts w:ascii="Times New Roman" w:hAnsi="Times New Roman" w:eastAsia="Times New Roman" w:cs="Times New Roman"/>
        </w:rPr>
        <w:t xml:space="preserve"> </w:t>
      </w:r>
      <w:r>
        <w:rPr>
          <w:rFonts w:ascii="Nirmala UI" w:hAnsi="Nirmala UI" w:eastAsia="Nirmala UI" w:cs="Nirmala UI"/>
        </w:rPr>
        <w:t>प्रोससखौ</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खालामो</w:t>
      </w:r>
      <w:r>
        <w:rPr>
          <w:rFonts w:ascii="Times New Roman" w:hAnsi="Times New Roman" w:eastAsia="Times New Roman" w:cs="Times New Roman"/>
        </w:rPr>
        <w:t xml:space="preserve">, </w:t>
      </w:r>
      <w:r>
        <w:rPr>
          <w:rFonts w:ascii="Nirmala UI" w:hAnsi="Nirmala UI" w:eastAsia="Nirmala UI" w:cs="Nirmala UI"/>
        </w:rPr>
        <w:t>बेनिखायनो</w:t>
      </w:r>
      <w:r>
        <w:rPr>
          <w:rFonts w:ascii="Times New Roman" w:hAnsi="Times New Roman" w:eastAsia="Times New Roman" w:cs="Times New Roman"/>
        </w:rPr>
        <w:t xml:space="preserve"> </w:t>
      </w:r>
      <w:r>
        <w:rPr>
          <w:rFonts w:ascii="Nirmala UI" w:hAnsi="Nirmala UI" w:eastAsia="Nirmala UI" w:cs="Nirmala UI"/>
        </w:rPr>
        <w:t>यूहानखौ</w:t>
      </w:r>
      <w:r>
        <w:rPr>
          <w:rFonts w:ascii="Times New Roman" w:hAnsi="Times New Roman" w:eastAsia="Times New Roman" w:cs="Times New Roman"/>
        </w:rPr>
        <w:t xml:space="preserve"> </w:t>
      </w:r>
      <w:r>
        <w:rPr>
          <w:rFonts w:ascii="Nirmala UI" w:hAnsi="Nirmala UI" w:eastAsia="Nirmala UI" w:cs="Nirmala UI"/>
        </w:rPr>
        <w:t>बारनाय</w:t>
      </w:r>
      <w:r>
        <w:rPr>
          <w:rFonts w:ascii="Times New Roman" w:hAnsi="Times New Roman" w:eastAsia="Times New Roman" w:cs="Times New Roman"/>
        </w:rPr>
        <w:t xml:space="preserve"> </w:t>
      </w:r>
      <w:r>
        <w:rPr>
          <w:rFonts w:ascii="Nirmala UI" w:hAnsi="Nirmala UI" w:eastAsia="Nirmala UI" w:cs="Nirmala UI"/>
        </w:rPr>
        <w:t>फिन</w:t>
      </w:r>
      <w:r>
        <w:rPr>
          <w:rFonts w:ascii="Times New Roman" w:hAnsi="Times New Roman" w:eastAsia="Times New Roman" w:cs="Times New Roman"/>
        </w:rPr>
        <w:t xml:space="preserve"> </w:t>
      </w:r>
      <w:r>
        <w:rPr>
          <w:rFonts w:ascii="Nirmala UI" w:hAnsi="Nirmala UI" w:eastAsia="Nirmala UI" w:cs="Nirmala UI"/>
        </w:rPr>
        <w:t>फैनायनि</w:t>
      </w:r>
      <w:r>
        <w:rPr>
          <w:rFonts w:ascii="Times New Roman" w:hAnsi="Times New Roman" w:eastAsia="Times New Roman" w:cs="Times New Roman"/>
        </w:rPr>
        <w:t xml:space="preserve"> </w:t>
      </w:r>
      <w:r>
        <w:rPr>
          <w:rFonts w:ascii="Nirmala UI" w:hAnsi="Nirmala UI" w:eastAsia="Nirmala UI" w:cs="Nirmala UI"/>
        </w:rPr>
        <w:t>जुगाव</w:t>
      </w:r>
      <w:r>
        <w:rPr>
          <w:rFonts w:ascii="Times New Roman" w:hAnsi="Times New Roman" w:eastAsia="Times New Roman" w:cs="Times New Roman"/>
        </w:rPr>
        <w:t xml:space="preserve"> </w:t>
      </w:r>
      <w:r>
        <w:rPr>
          <w:rFonts w:ascii="Nirmala UI" w:hAnsi="Nirmala UI" w:eastAsia="Nirmala UI" w:cs="Nirmala UI"/>
        </w:rPr>
        <w:t>भावबादियै</w:t>
      </w:r>
      <w:r>
        <w:rPr>
          <w:rFonts w:ascii="Times New Roman" w:hAnsi="Times New Roman" w:eastAsia="Times New Roman" w:cs="Times New Roman"/>
        </w:rPr>
        <w:t xml:space="preserve"> </w:t>
      </w:r>
      <w:r>
        <w:rPr>
          <w:rFonts w:ascii="Nirmala UI" w:hAnsi="Nirmala UI" w:eastAsia="Nirmala UI" w:cs="Nirmala UI"/>
        </w:rPr>
        <w:t>जायगानि</w:t>
      </w:r>
      <w:r>
        <w:rPr>
          <w:rFonts w:ascii="Times New Roman" w:hAnsi="Times New Roman" w:eastAsia="Times New Roman" w:cs="Times New Roman"/>
        </w:rPr>
        <w:t xml:space="preserve"> </w:t>
      </w:r>
      <w:r>
        <w:rPr>
          <w:rFonts w:ascii="Nirmala UI" w:hAnsi="Nirmala UI" w:eastAsia="Nirmala UI" w:cs="Nirmala UI"/>
        </w:rPr>
        <w:t>मावनायजों।</w:t>
      </w:r>
      <w:r>
        <w:rPr>
          <w:rFonts w:ascii="Times New Roman" w:hAnsi="Times New Roman" w:eastAsia="Times New Roman" w:cs="Times New Roman"/>
        </w:rPr>
        <w:t xml:space="preserve"> </w:t>
      </w:r>
      <w:r>
        <w:rPr>
          <w:rFonts w:ascii="Nirmala UI" w:hAnsi="Nirmala UI" w:eastAsia="Nirmala UI" w:cs="Nirmala UI"/>
        </w:rPr>
        <w:t>बेनिखायनो</w:t>
      </w:r>
      <w:r>
        <w:rPr>
          <w:rFonts w:ascii="Times New Roman" w:hAnsi="Times New Roman" w:eastAsia="Times New Roman" w:cs="Times New Roman"/>
        </w:rPr>
        <w:t xml:space="preserve">, </w:t>
      </w:r>
      <w:r>
        <w:rPr>
          <w:rFonts w:ascii="Nirmala UI" w:hAnsi="Nirmala UI" w:eastAsia="Nirmala UI" w:cs="Nirmala UI"/>
        </w:rPr>
        <w:t>जिशुनि</w:t>
      </w:r>
      <w:r>
        <w:rPr>
          <w:rFonts w:ascii="Times New Roman" w:hAnsi="Times New Roman" w:eastAsia="Times New Roman" w:cs="Times New Roman"/>
        </w:rPr>
        <w:t xml:space="preserve"> </w:t>
      </w:r>
      <w:r>
        <w:rPr>
          <w:rFonts w:ascii="Nirmala UI" w:hAnsi="Nirmala UI" w:eastAsia="Nirmala UI" w:cs="Nirmala UI"/>
        </w:rPr>
        <w:t>गिबि</w:t>
      </w:r>
      <w:r>
        <w:rPr>
          <w:rFonts w:ascii="Times New Roman" w:hAnsi="Times New Roman" w:eastAsia="Times New Roman" w:cs="Times New Roman"/>
        </w:rPr>
        <w:t xml:space="preserve"> “</w:t>
      </w:r>
      <w:r>
        <w:rPr>
          <w:rFonts w:ascii="Nirmala UI" w:hAnsi="Nirmala UI" w:eastAsia="Nirmala UI" w:cs="Nirmala UI"/>
        </w:rPr>
        <w:t>बारनाय</w:t>
      </w:r>
      <w:r>
        <w:rPr>
          <w:rFonts w:ascii="Times New Roman" w:hAnsi="Times New Roman" w:eastAsia="Times New Roman" w:cs="Times New Roman"/>
        </w:rPr>
        <w:t xml:space="preserve"> </w:t>
      </w:r>
      <w:r>
        <w:rPr>
          <w:rFonts w:ascii="Nirmala UI" w:hAnsi="Nirmala UI" w:eastAsia="Nirmala UI" w:cs="Nirmala UI"/>
        </w:rPr>
        <w:t>फिन</w:t>
      </w:r>
      <w:r>
        <w:rPr>
          <w:rFonts w:ascii="Times New Roman" w:hAnsi="Times New Roman" w:eastAsia="Times New Roman" w:cs="Times New Roman"/>
        </w:rPr>
        <w:t xml:space="preserve"> </w:t>
      </w:r>
      <w:r>
        <w:rPr>
          <w:rFonts w:ascii="Nirmala UI" w:hAnsi="Nirmala UI" w:eastAsia="Nirmala UI" w:cs="Nirmala UI"/>
        </w:rPr>
        <w:t>फैनाय</w:t>
      </w:r>
      <w:r>
        <w:rPr>
          <w:rFonts w:ascii="Times New Roman" w:hAnsi="Times New Roman" w:eastAsia="Times New Roman" w:cs="Times New Roman"/>
        </w:rPr>
        <w:t>” (</w:t>
      </w:r>
      <w:r>
        <w:rPr>
          <w:rFonts w:ascii="Nirmala UI" w:hAnsi="Nirmala UI" w:eastAsia="Nirmala UI" w:cs="Nirmala UI"/>
        </w:rPr>
        <w:t>पात्मोस</w:t>
      </w:r>
      <w:r>
        <w:rPr>
          <w:rFonts w:ascii="Times New Roman" w:hAnsi="Times New Roman" w:eastAsia="Times New Roman" w:cs="Times New Roman"/>
        </w:rPr>
        <w:t xml:space="preserve">) </w:t>
      </w:r>
      <w:r>
        <w:rPr>
          <w:rFonts w:ascii="Nirmala UI" w:hAnsi="Nirmala UI" w:eastAsia="Nirmala UI" w:cs="Nirmala UI"/>
        </w:rPr>
        <w:t>खौ</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जोबोर</w:t>
      </w:r>
      <w:r>
        <w:rPr>
          <w:rFonts w:ascii="Times New Roman" w:hAnsi="Times New Roman" w:eastAsia="Times New Roman" w:cs="Times New Roman"/>
        </w:rPr>
        <w:t xml:space="preserve"> “</w:t>
      </w:r>
      <w:r>
        <w:rPr>
          <w:rFonts w:ascii="Nirmala UI" w:hAnsi="Nirmala UI" w:eastAsia="Nirmala UI" w:cs="Nirmala UI"/>
        </w:rPr>
        <w:t>बारनाय</w:t>
      </w:r>
      <w:r>
        <w:rPr>
          <w:rFonts w:ascii="Times New Roman" w:hAnsi="Times New Roman" w:eastAsia="Times New Roman" w:cs="Times New Roman"/>
        </w:rPr>
        <w:t xml:space="preserve"> </w:t>
      </w:r>
      <w:r>
        <w:rPr>
          <w:rFonts w:ascii="Nirmala UI" w:hAnsi="Nirmala UI" w:eastAsia="Nirmala UI" w:cs="Nirmala UI"/>
        </w:rPr>
        <w:t>फिन</w:t>
      </w:r>
      <w:r>
        <w:rPr>
          <w:rFonts w:ascii="Times New Roman" w:hAnsi="Times New Roman" w:eastAsia="Times New Roman" w:cs="Times New Roman"/>
        </w:rPr>
        <w:t xml:space="preserve"> </w:t>
      </w:r>
      <w:r>
        <w:rPr>
          <w:rFonts w:ascii="Nirmala UI" w:hAnsi="Nirmala UI" w:eastAsia="Nirmala UI" w:cs="Nirmala UI"/>
        </w:rPr>
        <w:t>फैनाय</w:t>
      </w:r>
      <w:r>
        <w:rPr>
          <w:rFonts w:ascii="Times New Roman" w:hAnsi="Times New Roman" w:eastAsia="Times New Roman" w:cs="Times New Roman"/>
        </w:rPr>
        <w:t>”</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बिथांखौ</w:t>
      </w:r>
      <w:r>
        <w:rPr>
          <w:rFonts w:ascii="Times New Roman" w:hAnsi="Times New Roman" w:eastAsia="Times New Roman" w:cs="Times New Roman"/>
        </w:rPr>
        <w:t xml:space="preserve"> </w:t>
      </w:r>
      <w:r>
        <w:rPr>
          <w:rFonts w:ascii="Nirmala UI" w:hAnsi="Nirmala UI" w:eastAsia="Nirmala UI" w:cs="Nirmala UI"/>
        </w:rPr>
        <w:t>दिन्थिनो</w:t>
      </w:r>
      <w:r>
        <w:rPr>
          <w:rFonts w:ascii="Times New Roman" w:hAnsi="Times New Roman" w:eastAsia="Times New Roman" w:cs="Times New Roman"/>
        </w:rPr>
        <w:t xml:space="preserve"> </w:t>
      </w:r>
      <w:r>
        <w:rPr>
          <w:rFonts w:ascii="Nirmala UI" w:hAnsi="Nirmala UI" w:eastAsia="Nirmala UI" w:cs="Nirmala UI"/>
        </w:rPr>
        <w:t>सान्दों।</w:t>
      </w:r>
      <w:r>
        <w:rPr>
          <w:rFonts w:ascii="Times New Roman" w:hAnsi="Times New Roman" w:eastAsia="Times New Roman" w:cs="Times New Roman"/>
        </w:rPr>
        <w:t xml:space="preserve"> </w:t>
      </w:r>
      <w:r>
        <w:rPr>
          <w:rFonts w:ascii="Nirmala UI" w:hAnsi="Nirmala UI" w:eastAsia="Nirmala UI" w:cs="Nirmala UI"/>
        </w:rPr>
        <w:t>बेयो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गोरोंथियै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लाइनफोरजों</w:t>
      </w:r>
      <w:r>
        <w:rPr>
          <w:rFonts w:ascii="Times New Roman" w:hAnsi="Times New Roman" w:eastAsia="Times New Roman" w:cs="Times New Roman"/>
        </w:rPr>
        <w:t xml:space="preserve"> </w:t>
      </w:r>
      <w:r>
        <w:rPr>
          <w:rFonts w:ascii="Nirmala UI" w:hAnsi="Nirmala UI" w:eastAsia="Nirmala UI" w:cs="Nirmala UI"/>
        </w:rPr>
        <w:t>गोजोनै</w:t>
      </w:r>
      <w:r>
        <w:rPr>
          <w:rFonts w:ascii="Times New Roman" w:hAnsi="Times New Roman" w:eastAsia="Times New Roman" w:cs="Times New Roman"/>
        </w:rPr>
        <w:t xml:space="preserve"> </w:t>
      </w:r>
      <w:r>
        <w:rPr>
          <w:rFonts w:ascii="Nirmala UI" w:hAnsi="Nirmala UI" w:eastAsia="Nirmala UI" w:cs="Nirmala UI"/>
        </w:rPr>
        <w:t>गोथोजायो</w:t>
      </w:r>
      <w:r>
        <w:rPr>
          <w:rFonts w:ascii="Times New Roman" w:hAnsi="Times New Roman" w:eastAsia="Times New Roman" w:cs="Times New Roman"/>
        </w:rPr>
        <w:t xml:space="preserve">, </w:t>
      </w:r>
      <w:r>
        <w:rPr>
          <w:rFonts w:ascii="Nirmala UI" w:hAnsi="Nirmala UI" w:eastAsia="Nirmala UI" w:cs="Nirmala UI"/>
        </w:rPr>
        <w:t>मानोना</w:t>
      </w:r>
      <w:r>
        <w:rPr>
          <w:rFonts w:ascii="Times New Roman" w:hAnsi="Times New Roman" w:eastAsia="Times New Roman" w:cs="Times New Roman"/>
        </w:rPr>
        <w:t xml:space="preserve"> </w:t>
      </w:r>
      <w:r>
        <w:rPr>
          <w:rFonts w:ascii="Nirmala UI" w:hAnsi="Nirmala UI" w:eastAsia="Nirmala UI" w:cs="Nirmala UI"/>
        </w:rPr>
        <w:t>बेयो</w:t>
      </w:r>
      <w:r>
        <w:rPr>
          <w:rFonts w:ascii="Times New Roman" w:hAnsi="Times New Roman" w:eastAsia="Times New Roman" w:cs="Times New Roman"/>
        </w:rPr>
        <w:t xml:space="preserve"> </w:t>
      </w:r>
      <w:r>
        <w:rPr>
          <w:rFonts w:ascii="Nirmala UI" w:hAnsi="Nirmala UI" w:eastAsia="Nirmala UI" w:cs="Nirmala UI"/>
        </w:rPr>
        <w:t>यूहानखौ</w:t>
      </w:r>
      <w:r>
        <w:rPr>
          <w:rFonts w:ascii="Times New Roman" w:hAnsi="Times New Roman" w:eastAsia="Times New Roman" w:cs="Times New Roman"/>
        </w:rPr>
        <w:t xml:space="preserve"> </w:t>
      </w:r>
      <w:r>
        <w:rPr>
          <w:rFonts w:ascii="Nirmala UI" w:hAnsi="Nirmala UI" w:eastAsia="Nirmala UI" w:cs="Nirmala UI"/>
        </w:rPr>
        <w:t>हाग्रानि</w:t>
      </w:r>
      <w:r>
        <w:rPr>
          <w:rFonts w:ascii="Times New Roman" w:hAnsi="Times New Roman" w:eastAsia="Times New Roman" w:cs="Times New Roman"/>
        </w:rPr>
        <w:t xml:space="preserve"> </w:t>
      </w:r>
      <w:r>
        <w:rPr>
          <w:rFonts w:ascii="Nirmala UI" w:hAnsi="Nirmala UI" w:eastAsia="Nirmala UI" w:cs="Nirmala UI"/>
        </w:rPr>
        <w:t>जोबोदां</w:t>
      </w:r>
      <w:r>
        <w:rPr>
          <w:rFonts w:ascii="Times New Roman" w:hAnsi="Times New Roman" w:eastAsia="Times New Roman" w:cs="Times New Roman"/>
        </w:rPr>
        <w:t xml:space="preserve">, </w:t>
      </w:r>
      <w:r>
        <w:rPr>
          <w:rFonts w:ascii="Nirmala UI" w:hAnsi="Nirmala UI" w:eastAsia="Nirmala UI" w:cs="Nirmala UI"/>
        </w:rPr>
        <w:t>पात्मोसाव</w:t>
      </w:r>
      <w:r>
        <w:rPr>
          <w:rFonts w:ascii="Times New Roman" w:hAnsi="Times New Roman" w:eastAsia="Times New Roman" w:cs="Times New Roman"/>
        </w:rPr>
        <w:t xml:space="preserve">, </w:t>
      </w:r>
      <w:r>
        <w:rPr>
          <w:rFonts w:ascii="Nirmala UI" w:hAnsi="Nirmala UI" w:eastAsia="Nirmala UI" w:cs="Nirmala UI"/>
        </w:rPr>
        <w:t>जाहाथे</w:t>
      </w:r>
      <w:r>
        <w:rPr>
          <w:rFonts w:ascii="Times New Roman" w:hAnsi="Times New Roman" w:eastAsia="Times New Roman" w:cs="Times New Roman"/>
        </w:rPr>
        <w:t xml:space="preserve"> </w:t>
      </w:r>
      <w:r>
        <w:rPr>
          <w:rFonts w:ascii="Nirmala UI" w:hAnsi="Nirmala UI" w:eastAsia="Nirmala UI" w:cs="Nirmala UI"/>
        </w:rPr>
        <w:t>बेयो</w:t>
      </w:r>
      <w:r>
        <w:rPr>
          <w:rFonts w:ascii="Times New Roman" w:hAnsi="Times New Roman" w:eastAsia="Times New Roman" w:cs="Times New Roman"/>
        </w:rPr>
        <w:t xml:space="preserve"> </w:t>
      </w:r>
      <w:r>
        <w:rPr>
          <w:rFonts w:ascii="Nirmala UI" w:hAnsi="Nirmala UI" w:eastAsia="Nirmala UI" w:cs="Nirmala UI"/>
        </w:rPr>
        <w:t>जिशु</w:t>
      </w:r>
      <w:r>
        <w:rPr>
          <w:rFonts w:ascii="Times New Roman" w:hAnsi="Times New Roman" w:eastAsia="Times New Roman" w:cs="Times New Roman"/>
        </w:rPr>
        <w:t xml:space="preserve"> </w:t>
      </w:r>
      <w:r>
        <w:rPr>
          <w:rFonts w:ascii="Nirmala UI" w:hAnsi="Nirmala UI" w:eastAsia="Nirmala UI" w:cs="Nirmala UI"/>
        </w:rPr>
        <w:t>ख्रिस्टनि</w:t>
      </w:r>
      <w:r>
        <w:rPr>
          <w:rFonts w:ascii="Times New Roman" w:hAnsi="Times New Roman" w:eastAsia="Times New Roman" w:cs="Times New Roman"/>
        </w:rPr>
        <w:t xml:space="preserve"> </w:t>
      </w:r>
      <w:r>
        <w:rPr>
          <w:rFonts w:ascii="Nirmala UI" w:hAnsi="Nirmala UI" w:eastAsia="Nirmala UI" w:cs="Nirmala UI"/>
        </w:rPr>
        <w:t>रेबेलेशोनखौ</w:t>
      </w:r>
      <w:r>
        <w:rPr>
          <w:rFonts w:ascii="Times New Roman" w:hAnsi="Times New Roman" w:eastAsia="Times New Roman" w:cs="Times New Roman"/>
        </w:rPr>
        <w:t xml:space="preserve"> </w:t>
      </w:r>
      <w:r>
        <w:rPr>
          <w:rFonts w:ascii="Nirmala UI" w:hAnsi="Nirmala UI" w:eastAsia="Nirmala UI" w:cs="Nirmala UI"/>
        </w:rPr>
        <w:t>मोननो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बिथां</w:t>
      </w:r>
      <w:r>
        <w:rPr>
          <w:rFonts w:ascii="Times New Roman" w:hAnsi="Times New Roman" w:eastAsia="Times New Roman" w:cs="Times New Roman"/>
        </w:rPr>
        <w:t xml:space="preserve"> </w:t>
      </w:r>
      <w:r>
        <w:rPr>
          <w:rFonts w:ascii="Nirmala UI" w:hAnsi="Nirmala UI" w:eastAsia="Nirmala UI" w:cs="Nirmala UI"/>
        </w:rPr>
        <w:t>खालामो।</w:t>
      </w:r>
      <w:r>
        <w:rPr>
          <w:rFonts w:ascii="Times New Roman" w:hAnsi="Times New Roman" w:eastAsia="Times New Roman" w:cs="Times New Roman"/>
        </w:rPr>
        <w:t xml:space="preserve"> </w:t>
      </w:r>
      <w:r>
        <w:rPr>
          <w:rFonts w:ascii="Nirmala UI" w:hAnsi="Nirmala UI" w:eastAsia="Nirmala UI" w:cs="Nirmala UI"/>
        </w:rPr>
        <w:t>माथियुनि</w:t>
      </w:r>
      <w:r>
        <w:rPr>
          <w:rFonts w:ascii="Times New Roman" w:hAnsi="Times New Roman" w:eastAsia="Times New Roman" w:cs="Times New Roman"/>
        </w:rPr>
        <w:t xml:space="preserve"> </w:t>
      </w:r>
      <w:r>
        <w:rPr>
          <w:rFonts w:ascii="Nirmala UI" w:hAnsi="Nirmala UI" w:eastAsia="Nirmala UI" w:cs="Nirmala UI"/>
        </w:rPr>
        <w:t>बिजाबनि</w:t>
      </w:r>
      <w:r>
        <w:rPr>
          <w:rFonts w:ascii="Times New Roman" w:hAnsi="Times New Roman" w:eastAsia="Times New Roman" w:cs="Times New Roman"/>
        </w:rPr>
        <w:t xml:space="preserve"> </w:t>
      </w:r>
      <w:r>
        <w:rPr>
          <w:rFonts w:ascii="Nirmala UI" w:hAnsi="Nirmala UI" w:eastAsia="Nirmala UI" w:cs="Nirmala UI"/>
        </w:rPr>
        <w:t>जोबोदांखौनो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बुङो</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Lalu kesebelas murid itu pergi ke Galilea, ke sebuah gunung yang telah ditunjukkan Yesus kepada mereka. Dan ketika mereka melihat Dia, mereka menyembah-Nya; tetapi beberapa orang ragu-ragu. Maka Yesus datang dan berbicara kepada mereka, kata-Nya: Segala kuasa telah diberikan kepada-Ku di sorga dan di bumi. Karena itu pergilah, jadikanlah semua bangsa murid-Ku, dan baptislah mereka dalam nama Bapa, dan Anak, dan Roh Kudus: dan ajarlah mereka melakukan segala sesuatu yang telah Kuperintahkan kepadamu: dan lihatlah, Aku menyertai kamu senantiasa, sampai kepada akhir zaman. Amin. Matius 28:16–20.</w:t>
      </w:r>
    </w:p>
    <w:p>
      <w:pPr>
        <w:pStyle w:val="ArticleBody"/>
        <w:jc w:val="left"/>
      </w:pPr>
      <w:r>
        <w:rPr>
          <w:rFonts w:ascii="Times New Roman" w:hAnsi="Times New Roman" w:eastAsia="Times New Roman" w:cs="Times New Roman"/>
        </w:rPr>
        <w:t>Dalam petikan itu segala kuasa diberikan kepada Yesus, dan ini tentunya ialah kuasa penciptaan-Nya. Kemudian Dia memberikan perintah untuk membaptis dalam nama Bapa, Anak, dan juga Roh Kudus yang bergerak di atas air dalam Kejadian satu, serta tujuh Roh yang ada di hadapan takhta Allah. Petikan ini menunjukkan bahawa orang Kristian hendaklah mengakui tiga peribadi dalam trio syurgawi itu sebagai tiga entiti yang berbeza. Penutup kitab Matius menambahkan keterangan ini sebagaimana keenam-enam yang lain.</w:t>
      </w:r>
    </w:p>
    <w:p>
      <w:pPr>
        <w:pStyle w:val="ArticleScripture"/>
        <w:jc w:val="left"/>
      </w:pPr>
      <w:r>
        <w:rPr>
          <w:rFonts w:ascii="Times New Roman" w:hAnsi="Times New Roman" w:eastAsia="Times New Roman" w:cs="Times New Roman"/>
        </w:rPr>
        <w:t>“Kristus telah menjadikan baptisan sebagai tanda masuk ke dalam kerajaan rohani-Nya. Ia telah menetapkan hal ini sebagai suatu syarat yang tegas yang harus dipenuhi oleh semua orang yang ingin diakui berada di bawah otoritas Bapa, Anak, dan Roh Kudus. Sebelum manusia dapat memperoleh tempat dalam gereja, sebelum melintasi ambang kerajaan rohani Allah, ia harus menerima meterai nama ilahi, ‘TUHAN keadilan kita.’ Yeremia 23:6.</w:t>
      </w:r>
    </w:p>
    <w:p>
      <w:pPr>
        <w:pStyle w:val="ArticleScripture"/>
        <w:jc w:val="left"/>
      </w:pPr>
      <w:r>
        <w:rPr>
          <w:rFonts w:ascii="Times New Roman" w:hAnsi="Times New Roman" w:eastAsia="Times New Roman" w:cs="Times New Roman"/>
        </w:rPr>
        <w:t>“Baptisme ialah suatu penyangkalan terhadap dunia yang amat khusyuk. Mereka yang dibaptiskan dalam nama tiga serangkai Bapa, Anak, dan Roh Kudus, pada saat permulaan kehidupan Kristian mereka, menyatakan secara terbuka bahawa mereka telah meninggalkan pelayanan kepada Iblis, dan telah menjadi anggota keluarga diraja, anak-anak Raja syurgawi. Mereka telah menuruti perintah, ‘Keluarlah dari antara mereka, dan asingkanlah dirimu, … dan janganlah menjamah benda yang najis.’ Dan kepada mereka digenapi janji ini, ‘Aku akan menerima kamu, dan Aku akan menjadi Bapa bagimu, dan kamu akan menjadi anak-anak lelaki dan anak-anak perempuan-Ku, firman Tuhan Yang Mahakuasa.’ 2 Korintus 6:17, 18.”</w:t>
      </w:r>
    </w:p>
    <w:p>
      <w:pPr>
        <w:pStyle w:val="ArticleScripture"/>
        <w:jc w:val="left"/>
      </w:pPr>
      <w:r>
        <w:rPr>
          <w:rFonts w:ascii="Times New Roman" w:hAnsi="Times New Roman" w:eastAsia="Times New Roman" w:cs="Times New Roman"/>
        </w:rPr>
        <w:t>“Apabila orang Kristian menyerahkan diri kepada upacara pembaptisan yang khusyuk, Dia mencatat nazar yang mereka buat untuk setia kepada-Nya. Nazar ini ialah sumpah taat setia mereka. Mereka dibaptiskan dalam nama Bapa dan Anak dan Roh Kudus. Dengan demikian mereka dipersatukan dengan tiga kuasa besar syurga. Mereka berjanji untuk meninggalkan dunia dan memelihara hukum-hukum kerajaan Allah. Mulai saat itu mereka harus hidup dalam pembaharuan hidup. Mereka tidak lagi harus mengikuti tradisi manusia. Mereka tidak lagi harus menuruti cara-cara yang tidak jujur. Mereka harus mematuhi ketetapan-ketetapan kerajaan syurga. Mereka harus mencari kehormatan Allah. Jika mereka setia kepada nazar mereka, mereka akan dikurniai rahmat dan kuasa yang akan memampukan mereka untuk menggenapkan seluruh kebenaran. ‘Tetapi semua orang yang menerima-Nya diberi-Nya kuasa supaya menjadi anak-anak Allah, yaitu mereka yang percaya dalam nama-Nya.’” Evangelism, 307.</w:t>
      </w:r>
    </w:p>
    <w:p>
      <w:pPr>
        <w:pStyle w:val="ArticleBody"/>
        <w:jc w:val="left"/>
      </w:pPr>
      <w:r>
        <w:rPr>
          <w:rFonts w:ascii="Times New Roman" w:hAnsi="Times New Roman" w:eastAsia="Times New Roman" w:cs="Times New Roman"/>
        </w:rPr>
        <w:t>Yesu u bontsha bokhutlo ka tshimologo mo Lefokong la Gagwe, gonne Ke ene Lefoko, mme Ke ene Alfa le Omega.</w:t>
      </w:r>
    </w:p>
    <w:p>
      <w:pPr>
        <w:pStyle w:val="ArticleBody"/>
        <w:jc w:val="left"/>
      </w:pPr>
      <w:r>
        <w:rPr>
          <w:rFonts w:ascii="Times New Roman" w:hAnsi="Times New Roman" w:eastAsia="Times New Roman" w:cs="Times New Roman"/>
        </w:rPr>
        <w:t>Bɛ fa saa nsensanee nson yi bom no si nkitahodi a ɛda Onyankopɔn ne onipa ntam no ho mfonini a ɛyɛ pɛpɛɛpɛ na emu dɔ kɛse, a nokwasɛm afoforo pii a ɛho hia yiye na ɛsõ nso, a “nsensanee” adansefo afoforo no de asi hɔ na wɔde agyina pintinn. Nkɔmhyɛ mu “nsensanee” nson a egyina hɔ ma Alfa ne Omega. Na Malaki nhoma no deɛ ɛ?</w:t>
      </w:r>
    </w:p>
    <w:p>
      <w:pPr>
        <w:pStyle w:val="ArticleBody"/>
        <w:jc w:val="left"/>
      </w:pPr>
      <w:r>
        <w:rPr>
          <w:rFonts w:ascii="Times New Roman" w:hAnsi="Times New Roman" w:eastAsia="Times New Roman" w:cs="Times New Roman"/>
        </w:rPr>
        <w:t>Buku Maleakhi ialah teguran yang tajam terhadap para imam yang tidak setia dalam Adventisme. Buku ini dibuka dengan pengenalpastian dua golongan penyembah dalam Adventisme pada akhir zaman.</w:t>
      </w:r>
    </w:p>
    <w:p>
      <w:pPr>
        <w:pStyle w:val="ArticleScripture"/>
        <w:jc w:val="left"/>
      </w:pPr>
      <w:r>
        <w:rPr>
          <w:rFonts w:ascii="Times New Roman" w:hAnsi="Times New Roman" w:eastAsia="Times New Roman" w:cs="Times New Roman"/>
        </w:rPr>
        <w:t>Sang bebeg-at ti sao ni Jehova maipapan iti Israel babaen kenni Malakias. Inayatkayo, kuna ni Jehova. Ngem kunayo, Ania ti pangipakitam a nangayatka kadakami? Saan kadi a kabsat ni Esau ken Jacob? kuna ni Jehova: nupay kasta, inayatko ni Jacob. Malakias 1:1, 2.</w:t>
      </w:r>
    </w:p>
    <w:p>
      <w:pPr>
        <w:pStyle w:val="ArticleBody"/>
        <w:jc w:val="left"/>
      </w:pPr>
      <w:r>
        <w:rPr>
          <w:rFonts w:ascii="Times New Roman" w:hAnsi="Times New Roman" w:eastAsia="Times New Roman" w:cs="Times New Roman"/>
        </w:rPr>
        <w:t>Malaki lebih lanjut memberitahukan kita bahawa dua golongan penyembah pada akhir dunia ialah dua golongan imam.</w:t>
      </w:r>
    </w:p>
    <w:p>
      <w:pPr>
        <w:pStyle w:val="ArticleScripture"/>
        <w:jc w:val="left"/>
      </w:pPr>
      <w:r>
        <w:rPr>
          <w:rFonts w:ascii="Times New Roman" w:hAnsi="Times New Roman" w:eastAsia="Times New Roman" w:cs="Times New Roman"/>
        </w:rPr>
        <w:t>“‘Me i nao, yupela pris, dispela lo em bilong yupela. Sapos yupela no harim, na sapos yupela no putim long bel bilong yupela long givim glori long nem bilong mi,’ Bikpela bilong ol ami i tok, ‘bai mi salim wanpela tok nogut i kam antap long yupela, na bai mi tok nogut long ol blesing bilong yupela; yes, mi pinis long tok nogut long ol pinis, long wanem, yupela no putim dispela long bel bilong yupela.’” Malakai 2:1, 2.</w:t>
      </w:r>
    </w:p>
    <w:p>
      <w:pPr>
        <w:pStyle w:val="ArticleBody"/>
        <w:jc w:val="left"/>
      </w:pPr>
      <w:r>
        <w:rPr>
          <w:rFonts w:ascii="Times New Roman" w:hAnsi="Times New Roman" w:eastAsia="Times New Roman" w:cs="Times New Roman"/>
        </w:rPr>
        <w:t>Permulaan kitab Maleakhi melambangkan pekabaran Laodikia dan Filadelfia melalui dua golongan imam. Para imam diperintahkan untuk “mendengar.” Yohanes melambangkan para imam yang sungguh mendengar, dan seorang imam melambangkan umat pilihan perjanjian Allah. Mereka telah berada di bawah kutuk dan akan dikutuk lagi jika mereka tidak “mendengar” dan jika mereka tidak atau tidak mau “menaruhnya di dalam hati.”</w:t>
      </w:r>
    </w:p>
    <w:p>
      <w:pPr>
        <w:pStyle w:val="ArticleScripture"/>
        <w:jc w:val="left"/>
      </w:pPr>
      <w:r>
        <w:rPr>
          <w:rFonts w:ascii="Times New Roman" w:hAnsi="Times New Roman" w:eastAsia="Times New Roman" w:cs="Times New Roman"/>
        </w:rPr>
        <w:t>Kamu juga, sebagai batu-batu yang hidup, sedang dibangunkan menjadi suatu rumah rohani, suatu imamat yang kudus, untuk mempersembahkan korban-korban rohani, yang berkenan kepada Tuhan oleh Yesus Kristus. Sebab itu ada termaktub dalam Kitab Suci: Lihatlah, Aku meletakkan di Sion sebuah batu penjuru yang utama, yang terpilih, yang berharga; dan barangsiapa percaya kepada-Nya tidak akan dipermalukan. Karena itu bagi kamu yang percaya, Ia berharga; tetapi bagi mereka yang tidak taat, batu yang dibuang oleh tukang-tukang bangunan, batu itu juga telah dijadikan kepala penjuru, dan suatu batu sandungan, dan suatu gunung batu yang menjadi batu sentuhan, yaitu bagi mereka yang tersandung pada firman, karena mereka tidak taat; untuk itulah juga mereka telah ditetapkan. Tetapi kamulah keturunan yang terpilih, imamat yang rajani, bangsa yang kudus, umat milik Tuhan sendiri; supaya kamu memberitakan perbuatan-perbuatan mulia dari Dia yang telah memanggil kamu keluar dari kegelapan kepada terang-Nya yang ajaib; kamu yang dahulu bukan suatu umat, tetapi sekarang adalah umat Tuhan; yang dahulu tidak beroleh belas kasihan, tetapi sekarang telah beroleh belas kasihan. 1 Petrus 2:5–10.</w:t>
      </w:r>
    </w:p>
    <w:p>
      <w:pPr>
        <w:pStyle w:val="ArticleBody"/>
        <w:jc w:val="left"/>
      </w:pPr>
      <w:r>
        <w:rPr>
          <w:rFonts w:ascii="Times New Roman" w:hAnsi="Times New Roman" w:eastAsia="Times New Roman" w:cs="Times New Roman"/>
        </w:rPr>
        <w:t>Baperiste-ra ne nkurɔfo a Onyankopɔn apaw wɔn, na wɔsɔ wɔn hwɛ denam “ntwea aboɔ” a ɛwɔ asɔredan no fapem no so. Ntwea aboɔ no ne nea wɔde hyehyɛ fapem aboɔ a aka nyinaa pɛpɛɛpɛ no, na ɛno nso ne aboɔ a ɛsoa asɔredan no nyinaa mu duru. Miller ntwea aboɔ no ne Lewifo nhoma aduonu nsia no mu “mmere ason” no. Ntwea aboɔ no anaa aboɔ a adansifo no poo no no yɛ asɔredan no si ho abakɔsɛm ankasa, na wɔaka ho asɛm pɔtee wɔ Nkɔmhyɛ Honhom no nwoma mu. Asɛm baako a ɛfa aboɔ a edi kan a wɔpoo no ho ne sɛ, bere a wɔpoo no akyi no, wɔde too nkyɛn, na efi saa bere no rekɔ no, na asɔredan no adansifo no taa hintiw ntwea aboɔ no so, a na wɔde ato nkyɛn wɔ wɔn adwumayɛbea hɔ no. Ɛyɛ hintidua aboɔ.</w:t>
      </w:r>
    </w:p>
    <w:p>
      <w:pPr>
        <w:pStyle w:val="ArticleBody"/>
        <w:jc w:val="left"/>
      </w:pPr>
      <w:r>
        <w:rPr>
          <w:rFonts w:ascii="Times New Roman" w:hAnsi="Times New Roman" w:eastAsia="Times New Roman" w:cs="Times New Roman"/>
        </w:rPr>
        <w:t>Dalam Maleakhi, Allah memberitahukan kepada para imam fasik, yang juga dikenal sebagai gadis-gadis Laodikia yang bodoh, bahwa Ia akan dan memang sudah “mengutuk” mereka. Ia mengutuk mereka karena mereka tidak mau “mendengar” dan “menaruh” pekabaran Elia ke dalam hati mereka. Pekabaran Elia membalikkan hati bapa-bapa kepada anak-anak dan hati anak-anak kepada bapa-bapa. Pembalikan hati mereka melambangkan mendengar pekabaran Elia tentang bapa-bapa dan anak-anak, yang merupakan prinsip yang pertama dan yang terakhir. Mendengar pekabaran tentang yang pertama dan yang terakhir saja tidaklah cukup; pekabaran itu harus diletakkan ke atas hati. Menerima pekabaran Elia berarti menaruhnya ke dalam hatimu. Jika seorang imam tidak mau mendengar prinsip itu, ia akan dikutuk.</w:t>
      </w:r>
    </w:p>
    <w:p>
      <w:pPr>
        <w:pStyle w:val="ArticleBody"/>
        <w:jc w:val="left"/>
      </w:pPr>
      <w:r>
        <w:rPr>
          <w:rFonts w:ascii="Times New Roman" w:hAnsi="Times New Roman" w:eastAsia="Times New Roman" w:cs="Times New Roman"/>
        </w:rPr>
        <w:t>Ba ile ba itlisetsa thohako ka bobona ha ka 1863 ba qala mokgwa wa ho gana nnete ya pele haholo ya motheo eo Miller a ileng a e sibolla, mme haesale ho tloha ka nako eo ba sa etse letho haese ho tswela pele ka ho gana hoo ho fihlela letsatsing lena. Empa leha thohako e ntseng e eketseha e qalile ka 1863, (hobane ba se ba rohakilwe), thohako eo e buuwang ka nako e tlang e etsahala ha ba hlatsuwa molomong wa Morena nakong ya molao wa Sontaha. Qalo ya Malakia e bontsha qetello, hobane qetello e emela temoso ya ho qetela e newang baprista ba bohlale le ba maoatla. Ba bohlale le ba maoatla ho Malakia ba emelwa e le Esau le Jakobo. Ngwanabo moholo o emela selekane ka tokelo ya bohwa ba matsibolo ka baka la ho ba letsibolo, a bapiswa le ngwanabo e monyenyane. E moholo e le wa pele, mme e monyenyane e le wa ho qetela.</w:t>
      </w:r>
    </w:p>
    <w:p>
      <w:pPr>
        <w:pStyle w:val="ArticleBody"/>
        <w:jc w:val="left"/>
      </w:pPr>
      <w:r>
        <w:rPr>
          <w:rFonts w:ascii="Times New Roman" w:hAnsi="Times New Roman" w:eastAsia="Times New Roman" w:cs="Times New Roman"/>
        </w:rPr>
        <w:t>Dalam Maleakhi, baik Esau mahupun Yakub ialah Adventist Laodikia, tetapi yang terakhir akhirnya mendengar “suara” Tuhan, bertaubat, dan namanya diubah menjadi Israel. Yang tua, yang sulung, tidak mendengar. Yakub mendengar suara Tuhan pada malam dia bermimpi dan melihat malaikat-malaikat naik turun di atas tangga itu, yang melambangkan Kristus. Yakub melambangkan Adventist Laodikia pada akhir dunia yang ditobatkan daripada orang-orang Laodikia menjadi orang-orang Filadelfia apabila mereka mengalami tiga ayat pertama Wahyu satu, sebagaimana digambarkan oleh Yohanes dan mimpi Yakub tentang tangga dengan malaikat-malaikat yang naik dan turun. Pengalaman itu menandai permulaan pertobatan Yakub menjadi Israel, seorang Filadelfia. Pengakhiran kisah pertobatan Yakub ialah apabila dia bergumul dengan Kristus di Pniel. Oleh itu, kisah hak kesulungan Yakub bermula dalam tiga ayat pertama Wahyu fasal satu apabila pembukaan meterai berita amaran terakhir sedang berlangsung, dan berakhir pada waktu tujuh malapetaka terakhir, pada masa kesusahan.</w:t>
      </w:r>
    </w:p>
    <w:p>
      <w:pPr>
        <w:pStyle w:val="ArticleBody"/>
        <w:jc w:val="left"/>
      </w:pPr>
      <w:r>
        <w:rPr>
          <w:rFonts w:ascii="Leelawadee UI" w:hAnsi="Leelawadee UI" w:eastAsia="Leelawadee UI" w:cs="Leelawadee UI"/>
        </w:rPr>
        <w:t>ឈុតទាំងបួននៃការចាប់ផ្តើម</w:t>
      </w:r>
      <w:r>
        <w:rPr>
          <w:rFonts w:ascii="Times New Roman" w:hAnsi="Times New Roman" w:eastAsia="Times New Roman" w:cs="Times New Roman"/>
        </w:rPr>
        <w:t xml:space="preserve"> </w:t>
      </w:r>
      <w:r>
        <w:rPr>
          <w:rFonts w:ascii="Leelawadee UI" w:hAnsi="Leelawadee UI" w:eastAsia="Leelawadee UI" w:cs="Leelawadee UI"/>
        </w:rPr>
        <w:t>និងការបញ្ចប់</w:t>
      </w:r>
      <w:r>
        <w:rPr>
          <w:rFonts w:ascii="Times New Roman" w:hAnsi="Times New Roman" w:eastAsia="Times New Roman" w:cs="Times New Roman"/>
        </w:rPr>
        <w:t xml:space="preserve"> «</w:t>
      </w:r>
      <w:r>
        <w:rPr>
          <w:rFonts w:ascii="Leelawadee UI" w:hAnsi="Leelawadee UI" w:eastAsia="Leelawadee UI" w:cs="Leelawadee UI"/>
        </w:rPr>
        <w:t>បន្ទាត់លើបន្ទាត់</w:t>
      </w:r>
      <w:r>
        <w:rPr>
          <w:rFonts w:ascii="Times New Roman" w:hAnsi="Times New Roman" w:eastAsia="Times New Roman" w:cs="Times New Roman"/>
        </w:rPr>
        <w:t xml:space="preserve">» </w:t>
      </w:r>
      <w:r>
        <w:rPr>
          <w:rFonts w:ascii="Leelawadee UI" w:hAnsi="Leelawadee UI" w:eastAsia="Leelawadee UI" w:cs="Leelawadee UI"/>
        </w:rPr>
        <w:t>សុទ្ធសឹងតែធ្វើបន្ទាល់អំពីសារនៃវិវរណៈរបស់ព្រះយេស៊ូវគ្រីស្ទ។</w:t>
      </w:r>
      <w:r>
        <w:rPr>
          <w:rFonts w:ascii="Times New Roman" w:hAnsi="Times New Roman" w:eastAsia="Times New Roman" w:cs="Times New Roman"/>
        </w:rPr>
        <w:t xml:space="preserve"> </w:t>
      </w:r>
      <w:r>
        <w:rPr>
          <w:rFonts w:ascii="Leelawadee UI" w:hAnsi="Leelawadee UI" w:eastAsia="Leelawadee UI" w:cs="Leelawadee UI"/>
        </w:rPr>
        <w:t>សំណួរគឺថា</w:t>
      </w:r>
      <w:r>
        <w:rPr>
          <w:rFonts w:ascii="Times New Roman" w:hAnsi="Times New Roman" w:eastAsia="Times New Roman" w:cs="Times New Roman"/>
        </w:rPr>
        <w:t xml:space="preserve"> </w:t>
      </w:r>
      <w:r>
        <w:rPr>
          <w:rFonts w:ascii="Leelawadee UI" w:hAnsi="Leelawadee UI" w:eastAsia="Leelawadee UI" w:cs="Leelawadee UI"/>
        </w:rPr>
        <w:t>ពួកសង្ឃល្ងង់ខ្លៅនឹងស្តាប់</w:t>
      </w:r>
      <w:r>
        <w:rPr>
          <w:rFonts w:ascii="Times New Roman" w:hAnsi="Times New Roman" w:eastAsia="Times New Roman" w:cs="Times New Roman"/>
        </w:rPr>
        <w:t xml:space="preserve"> </w:t>
      </w:r>
      <w:r>
        <w:rPr>
          <w:rFonts w:ascii="Leelawadee UI" w:hAnsi="Leelawadee UI" w:eastAsia="Leelawadee UI" w:cs="Leelawadee UI"/>
        </w:rPr>
        <w:t>ឬមិនស្តាប់។</w:t>
      </w:r>
    </w:p>
    <w:p>
      <w:pPr>
        <w:pStyle w:val="ArticleScripture"/>
        <w:jc w:val="left"/>
      </w:pPr>
      <w:r>
        <w:rPr>
          <w:rFonts w:ascii="Times New Roman" w:hAnsi="Times New Roman" w:eastAsia="Times New Roman" w:cs="Times New Roman"/>
        </w:rPr>
        <w:t>Честит е оној што чита, и оние што ги слушаат зборовите на ова пророштво и го пазат она што е напишано во него; зашто времето е близу. Откровение 1:3.</w:t>
      </w:r>
    </w:p>
    <w:p>
      <w:pPr>
        <w:pStyle w:val="ArticleBody"/>
        <w:jc w:val="left"/>
      </w:pPr>
      <w:r>
        <w:rPr>
          <w:rFonts w:ascii="Times New Roman" w:hAnsi="Times New Roman" w:eastAsia="Times New Roman" w:cs="Times New Roman"/>
        </w:rPr>
        <w:t>Bapriste ba bohlale ba ba utlwang se Mowa o se bolelang diphuthegong ba utlwa molaetsa wa ga Elija. Miller e ne e le Elija, mme bangwe ba ne ba utlwa, fa ba bangwe ba ne ba gana.</w:t>
      </w:r>
    </w:p>
    <w:p>
      <w:pPr>
        <w:pStyle w:val="ArticleScripture"/>
        <w:jc w:val="left"/>
      </w:pPr>
      <w:r>
        <w:rPr>
          <w:rFonts w:ascii="Times New Roman" w:hAnsi="Times New Roman" w:eastAsia="Times New Roman" w:cs="Times New Roman"/>
        </w:rPr>
        <w:t>“Dihlakani di ile tša gogwa gore di amogele therešo ye e rerilwego ke William Miller, gomme bahlanka ba Modimo ba tsošwa ka moya le maatla a Eliya gore ba goeletše molaetša. Bjalo ka Johane, yo e lego moetapele wa Jesu, bao ba bego ba bolela molaetša wo wa bohlokwa ba ile ba ikwa ba gapeletšega go bea selepe modung wa mohlare, le go bitša batho gore ba tšweletše dienywa tše di swanetšego tshokologo. Bohlatse bja bona bo be bo loketše go tsoša le go ama dikereke ka maatla, le go bonagatša semelo sa tšona sa nnete. Gomme ge temošo ye bohlokwa ya gore ba tšhabe bogale bjo bo tlago e goeletšwa, ba bantši bao ba bego ba kopane le dikereke ba amogetše molaetša wa phodišo; ba bone go kgeloga ga bona, gomme ka megokgo e bohloko ya tshokologo le ka tlalelo e tseneletšego ya moya, ba ikokobeditše pele ga Modimo. Gomme ge Moya wa Modimo o dutše godimo ga bona, ba thušitše go goeletša sello se, ‘Boifang Modimo, le mo fe letago; gobane iri ya kahlolo ya gagwe e tlile.’” Early Writings, 233.</w:t>
      </w:r>
    </w:p>
    <w:p>
      <w:pPr>
        <w:pStyle w:val="ArticleBody"/>
        <w:jc w:val="left"/>
      </w:pPr>
      <w:r>
        <w:rPr>
          <w:rFonts w:ascii="Times New Roman" w:hAnsi="Times New Roman" w:eastAsia="Times New Roman" w:cs="Times New Roman"/>
        </w:rPr>
        <w:t>Miller i simbolem olgeta Elijah na John Baptais, long wanem, John Baptais i redim rot bilong namba wan kam bilong Krais, na Miller i redim rot bilong Krais i kam long Most Holy Place bilong hevenli sanktueri long Oktoba 22, 1844. Malakai i tok stret long wok bilong John na Miller.</w:t>
      </w:r>
    </w:p>
    <w:p>
      <w:pPr>
        <w:pStyle w:val="ArticleScripture"/>
        <w:jc w:val="left"/>
      </w:pPr>
      <w:r>
        <w:rPr>
          <w:rFonts w:ascii="Times New Roman" w:hAnsi="Times New Roman" w:eastAsia="Times New Roman" w:cs="Times New Roman"/>
        </w:rPr>
        <w:t>“Lihatlah, Aku akan mengutus utusan-Ku, dan ia akan mempersiapkan jalan di hadapan-Ku; dan Tuhan, yang kamu cari, akan dengan tiba-tiba datang ke bait-Nya, yakni utusan perjanjian, yang kamu sukai: lihatlah, Ia akan datang, firman Tuhan semesta alam. Tetapi siapakah yang dapat bertahan pada hari kedatangan-Nya? dan siapakah yang dapat tetap berdiri pada waktu Ia menampakkan diri? sebab Ia seperti api pemurni dan seperti sabun tukang penatu: Dan Ia akan duduk seperti pemurni dan pentahir perak: dan Ia akan mentahirkan bani Lewi, dan memurnikan mereka seperti emas dan perak, supaya mereka dapat mempersembahkan kepada Tuhan suatu persembahan dalam kebenaran. Maka persembahan Yehuda dan Yerusalem akan menyenangkan Tuhan, seperti pada zaman dahulu, dan seperti pada tahun-tahun yang lampau. Dan Aku akan datang mendekat kepadamu untuk penghakiman; dan Aku akan menjadi saksi yang segera terhadap para ahli sihir, dan terhadap para pezina, dan terhadap para pemberi sumpah palsu, dan terhadap mereka yang menindas buruh dalam upahnya, janda, dan anak yatim, dan yang menghalangi orang asing dari haknya, dan tidak takut akan Aku, firman Tuhan semesta alam. Sebab Akulah Tuhan, Aku tidak berubah; oleh sebab itu kamu, hai bani Yakub, tidak dibinasakan.” Maleakhi 3:1–6.</w:t>
      </w:r>
    </w:p>
    <w:p>
      <w:pPr>
        <w:pStyle w:val="ArticleBody"/>
        <w:jc w:val="left"/>
      </w:pPr>
      <w:r>
        <w:rPr>
          <w:rFonts w:ascii="Leelawadee UI" w:hAnsi="Leelawadee UI" w:eastAsia="Leelawadee UI" w:cs="Leelawadee UI"/>
        </w:rPr>
        <w:t>យ៉ាងដែលគាត់ជា</w:t>
      </w:r>
      <w:r>
        <w:rPr>
          <w:rFonts w:ascii="Times New Roman" w:hAnsi="Times New Roman" w:eastAsia="Times New Roman" w:cs="Times New Roman"/>
        </w:rPr>
        <w:t xml:space="preserve"> «</w:t>
      </w:r>
      <w:r>
        <w:rPr>
          <w:rFonts w:ascii="Leelawadee UI" w:hAnsi="Leelawadee UI" w:eastAsia="Leelawadee UI" w:cs="Leelawadee UI"/>
        </w:rPr>
        <w:t>អ្នកយាម</w:t>
      </w:r>
      <w:r>
        <w:rPr>
          <w:rFonts w:ascii="Times New Roman" w:hAnsi="Times New Roman" w:eastAsia="Times New Roman" w:cs="Times New Roman"/>
        </w:rPr>
        <w:t xml:space="preserve">» </w:t>
      </w:r>
      <w:r>
        <w:rPr>
          <w:rFonts w:ascii="Leelawadee UI" w:hAnsi="Leelawadee UI" w:eastAsia="Leelawadee UI" w:cs="Leelawadee UI"/>
        </w:rPr>
        <w:t>សម្រាប់ប្រវត្តិសាស្ត្ររបស់គាត់</w:t>
      </w:r>
      <w:r>
        <w:rPr>
          <w:rFonts w:ascii="Times New Roman" w:hAnsi="Times New Roman" w:eastAsia="Times New Roman" w:cs="Times New Roman"/>
        </w:rPr>
        <w:t xml:space="preserve"> </w:t>
      </w:r>
      <w:r>
        <w:rPr>
          <w:rFonts w:ascii="Leelawadee UI" w:hAnsi="Leelawadee UI" w:eastAsia="Leelawadee UI" w:cs="Leelawadee UI"/>
        </w:rPr>
        <w:t>កិច្ចការរបស់</w:t>
      </w:r>
      <w:r>
        <w:rPr>
          <w:rFonts w:ascii="Times New Roman" w:hAnsi="Times New Roman" w:eastAsia="Times New Roman" w:cs="Times New Roman"/>
        </w:rPr>
        <w:t xml:space="preserve"> Miller </w:t>
      </w:r>
      <w:r>
        <w:rPr>
          <w:rFonts w:ascii="Leelawadee UI" w:hAnsi="Leelawadee UI" w:eastAsia="Leelawadee UI" w:cs="Leelawadee UI"/>
        </w:rPr>
        <w:t>បានតំណាងឲ្យការលើកមូលដ្ឋាននៃព្រះវិហារ។</w:t>
      </w:r>
      <w:r>
        <w:rPr>
          <w:rFonts w:ascii="Times New Roman" w:hAnsi="Times New Roman" w:eastAsia="Times New Roman" w:cs="Times New Roman"/>
        </w:rPr>
        <w:t xml:space="preserve"> </w:t>
      </w:r>
      <w:r>
        <w:rPr>
          <w:rFonts w:ascii="Leelawadee UI" w:hAnsi="Leelawadee UI" w:eastAsia="Leelawadee UI" w:cs="Leelawadee UI"/>
        </w:rPr>
        <w:t>កិច្ចការរបស់គាត់នៅដើមដំបូង</w:t>
      </w:r>
      <w:r>
        <w:rPr>
          <w:rFonts w:ascii="Times New Roman" w:hAnsi="Times New Roman" w:eastAsia="Times New Roman" w:cs="Times New Roman"/>
        </w:rPr>
        <w:t xml:space="preserve"> </w:t>
      </w:r>
      <w:r>
        <w:rPr>
          <w:rFonts w:ascii="Leelawadee UI" w:hAnsi="Leelawadee UI" w:eastAsia="Leelawadee UI" w:cs="Leelawadee UI"/>
        </w:rPr>
        <w:t>ត្រូវតែបង្ហាញអំពីកិច្ចការមួយដែលតំណាងឲ្យការបញ្ចប់ព្រះវិហារ។</w:t>
      </w:r>
      <w:r>
        <w:rPr>
          <w:rFonts w:ascii="Times New Roman" w:hAnsi="Times New Roman" w:eastAsia="Times New Roman" w:cs="Times New Roman"/>
        </w:rPr>
        <w:t xml:space="preserve"> </w:t>
      </w:r>
      <w:r>
        <w:rPr>
          <w:rFonts w:ascii="Leelawadee UI" w:hAnsi="Leelawadee UI" w:eastAsia="Leelawadee UI" w:cs="Leelawadee UI"/>
        </w:rPr>
        <w:t>កិច្ចការចុងក្រោយនោះ</w:t>
      </w:r>
      <w:r>
        <w:rPr>
          <w:rFonts w:ascii="Times New Roman" w:hAnsi="Times New Roman" w:eastAsia="Times New Roman" w:cs="Times New Roman"/>
        </w:rPr>
        <w:t xml:space="preserve"> </w:t>
      </w:r>
      <w:r>
        <w:rPr>
          <w:rFonts w:ascii="Leelawadee UI" w:hAnsi="Leelawadee UI" w:eastAsia="Leelawadee UI" w:cs="Leelawadee UI"/>
        </w:rPr>
        <w:t>តម្រូវឲ្យមានអ្នកយាមម្នាក់ទៀត</w:t>
      </w:r>
      <w:r>
        <w:rPr>
          <w:rFonts w:ascii="Times New Roman" w:hAnsi="Times New Roman" w:eastAsia="Times New Roman" w:cs="Times New Roman"/>
        </w:rPr>
        <w:t xml:space="preserve"> </w:t>
      </w:r>
      <w:r>
        <w:rPr>
          <w:rFonts w:ascii="Leelawadee UI" w:hAnsi="Leelawadee UI" w:eastAsia="Leelawadee UI" w:cs="Leelawadee UI"/>
        </w:rPr>
        <w:t>ដើម្បីផ្លុំត្រែឲ្យមានសំឡេងច្បាស់លាស់។</w:t>
      </w:r>
      <w:r>
        <w:rPr>
          <w:rFonts w:ascii="Times New Roman" w:hAnsi="Times New Roman" w:eastAsia="Times New Roman" w:cs="Times New Roman"/>
        </w:rPr>
        <w:t xml:space="preserve"> Miller </w:t>
      </w:r>
      <w:r>
        <w:rPr>
          <w:rFonts w:ascii="Leelawadee UI" w:hAnsi="Leelawadee UI" w:eastAsia="Leelawadee UI" w:cs="Leelawadee UI"/>
        </w:rPr>
        <w:t>និងសាររបស់ទេវតាទីមួយ</w:t>
      </w:r>
      <w:r>
        <w:rPr>
          <w:rFonts w:ascii="Times New Roman" w:hAnsi="Times New Roman" w:eastAsia="Times New Roman" w:cs="Times New Roman"/>
        </w:rPr>
        <w:t xml:space="preserve"> </w:t>
      </w:r>
      <w:r>
        <w:rPr>
          <w:rFonts w:ascii="Leelawadee UI" w:hAnsi="Leelawadee UI" w:eastAsia="Leelawadee UI" w:cs="Leelawadee UI"/>
        </w:rPr>
        <w:t>បានប្រកាសអំពីការបើកនៃការជំនុំជម្រះ</w:t>
      </w:r>
      <w:r>
        <w:rPr>
          <w:rFonts w:ascii="Times New Roman" w:hAnsi="Times New Roman" w:eastAsia="Times New Roman" w:cs="Times New Roman"/>
        </w:rPr>
        <w:t xml:space="preserve"> </w:t>
      </w:r>
      <w:r>
        <w:rPr>
          <w:rFonts w:ascii="Leelawadee UI" w:hAnsi="Leelawadee UI" w:eastAsia="Leelawadee UI" w:cs="Leelawadee UI"/>
        </w:rPr>
        <w:t>ហើយអ្នកយាមដែល</w:t>
      </w:r>
      <w:r>
        <w:rPr>
          <w:rFonts w:ascii="Times New Roman" w:hAnsi="Times New Roman" w:eastAsia="Times New Roman" w:cs="Times New Roman"/>
        </w:rPr>
        <w:t xml:space="preserve"> Miller </w:t>
      </w:r>
      <w:r>
        <w:rPr>
          <w:rFonts w:ascii="Leelawadee UI" w:hAnsi="Leelawadee UI" w:eastAsia="Leelawadee UI" w:cs="Leelawadee UI"/>
        </w:rPr>
        <w:t>ជាគំរូសម្គាល់នៅចុងបញ្ចប់នៃ</w:t>
      </w:r>
      <w:r>
        <w:rPr>
          <w:rFonts w:ascii="Times New Roman" w:hAnsi="Times New Roman" w:eastAsia="Times New Roman" w:cs="Times New Roman"/>
        </w:rPr>
        <w:t xml:space="preserve"> Adventism </w:t>
      </w:r>
      <w:r>
        <w:rPr>
          <w:rFonts w:ascii="Leelawadee UI" w:hAnsi="Leelawadee UI" w:eastAsia="Leelawadee UI" w:cs="Leelawadee UI"/>
        </w:rPr>
        <w:t>នឹងប្រកាសអំពីការបិទនៃការជំនុំជម្រះ។</w:t>
      </w:r>
    </w:p>
    <w:p>
      <w:pPr>
        <w:pStyle w:val="ArticleBody"/>
        <w:jc w:val="left"/>
      </w:pPr>
      <w:r>
        <w:rPr>
          <w:rFonts w:ascii="Times New Roman" w:hAnsi="Times New Roman" w:eastAsia="Times New Roman" w:cs="Times New Roman"/>
        </w:rPr>
        <w:t>Dalam Maleakhi, Tuhan berjanji akan mendatangkan penghakiman “terhadap para tukang sihir, terhadap para pezina, terhadap orang-orang yang bersumpah dusta, terhadap mereka yang menindas orang upahan dalam upahnya, janda, dan anak yatim, serta yang memalingkan orang asing dari haknya, dan tidak takut akan Aku.” Mereka yang sedang dikenali di sini ialah mereka yang “tidak takut” akan “TUHAN semesta alam.” William Miller ialah utusan malaikat pertama yang menyerukan agar manusia “takut akan Allah.” Menolak dasar-dasar itu berarti menolak takut akan Allah.</w:t>
      </w:r>
    </w:p>
    <w:p>
      <w:pPr>
        <w:pStyle w:val="ArticleScripture"/>
        <w:jc w:val="left"/>
      </w:pPr>
      <w:r>
        <w:rPr>
          <w:rFonts w:ascii="Times New Roman" w:hAnsi="Times New Roman" w:eastAsia="Times New Roman" w:cs="Times New Roman"/>
        </w:rPr>
        <w:t>Sabab, tengoklah, hari itu datang, yang akan menyala seperti sebuah relau; dan semua orang yang sombong, ya, dan semua yang berbuat jahat, akan menjadi jerami kering; dan hari yang datang itu akan membakar mereka habis, firman Tuhan semesta alam, sehingga tidak akan ditinggalkan bagi mereka baik akar mahupun cabang. Tetapi kepada kamu yang takut akan nama-Ku, Matahari kebenaran akan terbit dengan kesembuhan pada sayap-Nya; dan kamu akan keluar serta bertumbuh seperti anak lembu yang dilepaskan dari kandang. Dan kamu akan menginjak-injak orang fasik; kerana mereka akan menjadi abu di bawah tapak kakimu pada hari Aku melakukan hal ini, firman Tuhan semesta alam. Ingatlah akan hukum Musa, hamba-Ku, yang telah Kuperintahkan kepadanya di Horeb untuk seluruh Israel, dengan segala ketetapan dan penghakiman. Tengoklah, Aku akan mengutus kepadamu Elia nabi sebelum datangnya hari Tuhan yang besar dan dahsyat itu; dan ia akan membalikkan hati bapa-bapa kepada anak-anak, dan hati anak-anak kepada bapa-bapa mereka, supaya jangan Aku datang lalu memukul bumi dengan suatu kutuk. Maleakhi 4:1–6.</w:t>
      </w:r>
    </w:p>
    <w:p>
      <w:pPr>
        <w:pStyle w:val="ArticleListItem"/>
        <w:ind w:left="576" w:hanging="259"/>
        <w:jc w:val="left"/>
      </w:pPr>
      <w:r>
        <w:rPr>
          <w:rFonts w:ascii="Times New Roman" w:hAnsi="Times New Roman" w:eastAsia="Times New Roman" w:cs="Times New Roman"/>
        </w:rPr>
        <w:t>• Permulaan Alkitab (Kejadian) dan akhir Alkitab (Wahyu).</w:t>
      </w:r>
    </w:p>
    <w:p>
      <w:pPr>
        <w:pStyle w:val="ArticleListItem"/>
        <w:ind w:left="576" w:hanging="259"/>
        <w:jc w:val="left"/>
      </w:pPr>
      <w:r>
        <w:rPr>
          <w:rFonts w:ascii="Times New Roman" w:hAnsi="Times New Roman" w:eastAsia="Times New Roman" w:cs="Times New Roman"/>
        </w:rPr>
        <w:t>• Tshimango tsha Mulanga wa Kale (Genesi) na magumo a Mulanga wa Kale (Malaki).</w:t>
      </w:r>
    </w:p>
    <w:p>
      <w:pPr>
        <w:pStyle w:val="ArticleListItem"/>
        <w:ind w:left="576" w:hanging="259"/>
        <w:jc w:val="left"/>
      </w:pPr>
      <w:r>
        <w:rPr>
          <w:rFonts w:ascii="Times New Roman" w:hAnsi="Times New Roman" w:eastAsia="Times New Roman" w:cs="Times New Roman"/>
        </w:rPr>
        <w:t>• Permulaan Perjanjian Baru (Matius) dan penghujung Perjanjian Baru (sekali lagi Wahyu).</w:t>
      </w:r>
    </w:p>
    <w:p>
      <w:pPr>
        <w:pStyle w:val="ArticleListItem"/>
        <w:ind w:left="576" w:hanging="259"/>
        <w:jc w:val="left"/>
      </w:pPr>
      <w:r>
        <w:rPr>
          <w:rFonts w:ascii="Times New Roman" w:hAnsi="Times New Roman" w:eastAsia="Times New Roman" w:cs="Times New Roman"/>
        </w:rPr>
        <w:t>• Permulaan kesaksian Yohanes (Injil Yohanes) dan akhir kesaksian Yohanes (sekali lagi Wahyu).</w:t>
      </w:r>
    </w:p>
    <w:p>
      <w:pPr>
        <w:pStyle w:val="ArticleListItem"/>
        <w:ind w:left="576" w:hanging="259"/>
        <w:jc w:val="left"/>
      </w:pPr>
      <w:r>
        <w:rPr>
          <w:rFonts w:ascii="Times New Roman" w:hAnsi="Times New Roman" w:eastAsia="Times New Roman" w:cs="Times New Roman"/>
        </w:rPr>
        <w:t>• Tshimango ya Maleaxi na bofelo jwa Maleaxi.</w:t>
      </w:r>
    </w:p>
    <w:p>
      <w:pPr>
        <w:pStyle w:val="ArticleListItem"/>
        <w:ind w:left="576" w:hanging="259"/>
        <w:jc w:val="left"/>
      </w:pPr>
      <w:r>
        <w:rPr>
          <w:rFonts w:ascii="Times New Roman" w:hAnsi="Times New Roman" w:eastAsia="Times New Roman" w:cs="Times New Roman"/>
        </w:rPr>
        <w:t>• Pematang Injil Matius dan penutup Injil Matius.</w:t>
      </w:r>
    </w:p>
    <w:p>
      <w:pPr>
        <w:pStyle w:val="ArticleListItem"/>
        <w:ind w:left="576" w:hanging="259"/>
        <w:jc w:val="left"/>
      </w:pPr>
      <w:r>
        <w:rPr>
          <w:rFonts w:ascii="Times New Roman" w:hAnsi="Times New Roman" w:eastAsia="Times New Roman" w:cs="Times New Roman"/>
        </w:rPr>
        <w:t>• Ia'ikwaafi ama Jesus ikwukwo onweya John ne ikwụcha ikwukwo onweya John.</w:t>
      </w:r>
    </w:p>
    <w:p>
      <w:pPr>
        <w:pStyle w:val="ArticleListItem"/>
        <w:ind w:left="576" w:hanging="259"/>
        <w:jc w:val="left"/>
      </w:pPr>
      <w:r>
        <w:rPr>
          <w:rFonts w:ascii="Times New Roman" w:hAnsi="Times New Roman" w:eastAsia="Times New Roman" w:cs="Times New Roman"/>
        </w:rPr>
        <w:t>• Permulaan keempat-empat Injil dan pengakhiran keempat-empat Injil.</w:t>
      </w:r>
    </w:p>
    <w:p>
      <w:pPr>
        <w:pStyle w:val="ArticleBody"/>
        <w:jc w:val="left"/>
      </w:pPr>
      <w:r>
        <w:rPr>
          <w:rFonts w:ascii="Times New Roman" w:hAnsi="Times New Roman" w:eastAsia="Times New Roman" w:cs="Times New Roman"/>
        </w:rPr>
        <w:t>Apabila kita menyingkirkan permulaan atau pengakhiran nubuat yang dirujuk lebih daripada sekali, maka hasilnya ialah lapan garis nubuat yang hendak dihimpunkan dan diletakkan pada tiga ayat pertama Wahyu. Bagaimana pula dengan pengakhiran Kejadian?</w:t>
      </w:r>
    </w:p>
    <w:p>
      <w:pPr>
        <w:pStyle w:val="ArticleBody"/>
        <w:jc w:val="left"/>
      </w:pPr>
      <w:r>
        <w:rPr>
          <w:rFonts w:ascii="Times New Roman" w:hAnsi="Times New Roman" w:eastAsia="Times New Roman" w:cs="Times New Roman"/>
        </w:rPr>
        <w:t>Kitab Kejadian pasal lima puluh berakhir dengan kematian Yusuf.</w:t>
      </w:r>
    </w:p>
    <w:p>
      <w:pPr>
        <w:pStyle w:val="ArticleScripture"/>
        <w:jc w:val="left"/>
      </w:pPr>
      <w:r>
        <w:rPr>
          <w:rFonts w:ascii="Times New Roman" w:hAnsi="Times New Roman" w:eastAsia="Times New Roman" w:cs="Times New Roman"/>
        </w:rPr>
        <w:t>Maka Yusuf pun mati pada umur seratus sepuluh tahun; lalu mereka membalsamkannya, dan ia diletakkan di dalam sebuah peti mati di Mesir. Kejadian 50:26.</w:t>
      </w:r>
    </w:p>
    <w:p>
      <w:pPr>
        <w:pStyle w:val="ArticleBody"/>
        <w:jc w:val="left"/>
      </w:pPr>
      <w:r>
        <w:rPr>
          <w:rFonts w:ascii="Times New Roman" w:hAnsi="Times New Roman" w:eastAsia="Times New Roman" w:cs="Times New Roman"/>
        </w:rPr>
        <w:t>Bab empat puluh lapan mengenal pasti kematian Yakub. Kematian Yakub yang disebut terlebih dahulu dalam bab empat puluh lapan, yang membawa kepada kematian Yusuf dalam ayat-ayat penutup bab lima puluh, meletakkan meterai Alfa dan Omega atas tiga bab terakhir Kitab Kejadian sebagai penutup kitab Kejadian.</w:t>
      </w:r>
    </w:p>
    <w:p>
      <w:pPr>
        <w:pStyle w:val="ArticleBody"/>
        <w:jc w:val="left"/>
      </w:pPr>
      <w:r>
        <w:rPr>
          <w:rFonts w:ascii="Times New Roman" w:hAnsi="Times New Roman" w:eastAsia="Times New Roman" w:cs="Times New Roman"/>
        </w:rPr>
        <w:t>Naꞌin kúu yéetel máanal kaxtáambal baꞌax ku tsꞌíibtaꞌal u puksiꞌikꞌal kꞌáat chiꞌibal Israel tu kaꞌab Egipto. Tu káajal, u baakꞌ Jacob ku pꞌáatal suuk beyoꞌ táan in bin a mukꞌtaꞌal yéetel u yumtsiloꞌob; ka tu jóokꞌol Moisés tiꞌ Egipto, letiꞌeꞌ ku taasik u baakꞌ José utiꞌal u mukꞌtaꞌal tu yóokꞌol u kúuchil u muknal u yumtsiloꞌob.</w:t>
      </w:r>
    </w:p>
    <w:p>
      <w:pPr>
        <w:pStyle w:val="ArticleScripture"/>
        <w:jc w:val="left"/>
      </w:pPr>
      <w:r>
        <w:rPr>
          <w:rFonts w:ascii="Times New Roman" w:hAnsi="Times New Roman" w:eastAsia="Times New Roman" w:cs="Times New Roman"/>
        </w:rPr>
        <w:t>Lalu Musa membawa tulang-tulang Yusuf bersama-sama dengannya, karena Yusuf telah dengan sungguh-sungguh menyuruh bani Israel bersumpah, katanya: “Allah pasti akan melawat kamu; maka kamu harus membawa naik tulang-tulangku dari sini bersama kamu.” Keluaran 13:19.</w:t>
      </w:r>
    </w:p>
    <w:p>
      <w:pPr>
        <w:pStyle w:val="ArticleBody"/>
        <w:jc w:val="left"/>
      </w:pPr>
      <w:r>
        <w:rPr>
          <w:rFonts w:ascii="Times New Roman" w:hAnsi="Times New Roman" w:eastAsia="Times New Roman" w:cs="Times New Roman"/>
        </w:rPr>
        <w:t>Penutup Kitab Kejadian ialah tiga pasal yang terakhir. Dalam pasal empat puluh lapan, Yakub (Israel) mengucapkan berkat ke atas kedua belas orang anaknya yang dikenal pasti secara langsung sebagai nubuat tentang apa yang akan berlaku kepada kedua belas suku itu pada “hari-hari terakhir” penghakiman penyiasatan.</w:t>
      </w:r>
    </w:p>
    <w:p>
      <w:pPr>
        <w:pStyle w:val="ArticleScripture"/>
        <w:jc w:val="left"/>
      </w:pPr>
      <w:r>
        <w:rPr>
          <w:rFonts w:ascii="Times New Roman" w:hAnsi="Times New Roman" w:eastAsia="Times New Roman" w:cs="Times New Roman"/>
        </w:rPr>
        <w:t>Mbe Yakobo abile bana ba gagwe, a re: “Phuthegang mmogo, gore ke lo bolelele tse di tla lo diragalelang mo metlheng ya bofelo. Phuthegang mmogo, mme lo utlwe, lona bana ba ga Yakobo; lo reetse Iseraele rraalona.” Genesi 49:1, 2.</w:t>
      </w:r>
    </w:p>
    <w:p>
      <w:pPr>
        <w:pStyle w:val="ArticleBody"/>
        <w:jc w:val="left"/>
      </w:pPr>
      <w:r>
        <w:rPr>
          <w:rFonts w:ascii="Times New Roman" w:hAnsi="Times New Roman" w:eastAsia="Times New Roman" w:cs="Times New Roman"/>
        </w:rPr>
        <w:t>Dalam “hari-hari terakhir” penghakiman penyiasatan, Tuhan berjanji akan mengumpulkan kedua belas anak laki-laki-Nya, yang dilambangkan sebagai seratus empat puluh empat ribu dalam kitab Wahyu. Merekalah yang Yohanes gambarkan dalam kitab Wahyu. Mereka dikumpulkan oleh suatu panggilan dari Yakub, suatu panggilan dari sejarah permulaan mereka yang kepada mereka diperintahkan untuk “mendengar” dan “menyimak”nya. Pada hari-hari terakhir, mereka yang ditipologikan oleh anak-anak Yakub “mendengar” suatu pekabaran dan “menyimak,” atau sebagaimana dikatakan Yohanes, “menuruti” segala sesuatu yang tertulis di dalamnya. Ini adalah panggilan dari bapa kepada anak-anak, inilah pekabaran Elia. Mereka yang dipanggil disebut “anak[-anak] Yakub,” dan juga harus “menyimak Israel,” bapa mereka.</w:t>
      </w:r>
    </w:p>
    <w:p>
      <w:pPr>
        <w:pStyle w:val="ArticleBody"/>
        <w:jc w:val="left"/>
      </w:pPr>
      <w:r>
        <w:rPr>
          <w:rFonts w:ascii="Times New Roman" w:hAnsi="Times New Roman" w:eastAsia="Times New Roman" w:cs="Times New Roman"/>
        </w:rPr>
        <w:t>Ésaü y Jacob en Malaquías representan a las vírgenes prudentes y necias. El llamamiento procede de su padre Jacob y de su padre Israel, identificando que, cuando se da el último llamado, todos son adventistas laodicenses y la elección es puesta en sus propias manos, si han de ser hijo de Jacob el engañador, o de Israel el vencedor. Lo que les permite hacer una elección es el poder creador que hay dentro del mensaje. Si el mensaje es leído, oído y guardado, entonces, mediante el mismo poder creador que trajo todas las cosas a la existencia, serán transformados en hijo de Israel. Rehusar oír es retener la experiencia de Jacob, el engañador.</w:t>
      </w:r>
    </w:p>
    <w:p>
      <w:pPr>
        <w:pStyle w:val="ArticleBody"/>
        <w:jc w:val="left"/>
      </w:pPr>
      <w:r>
        <w:rPr>
          <w:rFonts w:ascii="Times New Roman" w:hAnsi="Times New Roman" w:eastAsia="Times New Roman" w:cs="Times New Roman"/>
        </w:rPr>
        <w:t>Panggero ngipud ket Jacob, a isu met ti panggero ti mensahe a naipakita iti Revelation, ket maysa a napateg a simbolo a masapul a maawatan. Ti “pitó a daras” iti Leviticus bente-sais ket isurona nga awan ti panangipud no saan a nauna ti panangiwara-waragawag. Dagiti sangagasut ket uppat a pulo ket uppat a ribo ket dagidiay a naiwara-waragawag idi sakbay ti pannakaayab. Daytoy a kinapudno ket maulit-ulit a maipakakilala iti Biblia.</w:t>
      </w:r>
    </w:p>
    <w:p>
      <w:pPr>
        <w:pStyle w:val="ArticleScripture"/>
        <w:jc w:val="left"/>
      </w:pPr>
      <w:r>
        <w:rPr>
          <w:rFonts w:ascii="Times New Roman" w:hAnsi="Times New Roman" w:eastAsia="Times New Roman" w:cs="Times New Roman"/>
        </w:rPr>
        <w:t>Dengarlah firman Tuhan, hai bangsa-bangsa, dan beritakanlah itu di pulau-pulau yang jauh, serta katakanlah, Dia yang telah menyerakkan Israel akan mengumpulkannya dan memeliharanya, seperti seorang gembala memelihara kawanan dombanya. Yeremia 31:10.</w:t>
      </w:r>
    </w:p>
    <w:p>
      <w:pPr>
        <w:pStyle w:val="ArticleBody"/>
        <w:jc w:val="left"/>
      </w:pPr>
      <w:r>
        <w:rPr>
          <w:rFonts w:ascii="Times New Roman" w:hAnsi="Times New Roman" w:eastAsia="Times New Roman" w:cs="Times New Roman"/>
        </w:rPr>
        <w:t>Selekane seo se mpshafatšwago le ba dikete tše lekgolo le masomenne-nne se akaretša tshepišo ya gore Modimo o tla ngwala molao wa gagwe dipelong tša rena. Eupša bao Morena a ba direlago tiro ye ya tlholo ba be ba šetše ba gašitšwe pele.</w:t>
      </w:r>
    </w:p>
    <w:p>
      <w:pPr>
        <w:pStyle w:val="ArticleScripture"/>
        <w:jc w:val="left"/>
      </w:pPr>
      <w:r>
        <w:rPr>
          <w:rFonts w:ascii="Times New Roman" w:hAnsi="Times New Roman" w:eastAsia="Times New Roman" w:cs="Times New Roman"/>
        </w:rPr>
        <w:t>Mongwe Mawu a tshi dovha a ḓa kha nṋe, a ri, Ṅwana wa muthu, vhakomana vhau, ee, vhakomana vhau, vhanna vha lushaka lwau, na nnḓu yoṱhe ya Isiraele yoṱhe, ndi vhone vhane vhadzulapo vha Yerusalema vha amba navho vha ri, Ibvani kule na Muṋe washu: shango ili roṋe roṋe ro ṋewa uri riḽi dzhie sa vhune hashu. Ngauralo amba u ri, U ralo Murena Mudzimu: Naho ndo vha pandela kule vhukati ha dzitshaka, nahone naho ndo vha balanganya mashangoni, naho zwo ralo ndi ḓo vha fhethu hukhethwa huṱuku kha mashango he vha ḓo swika hone. Ngauralo amba u ri, U ralo Murena Mudzimu; Ndi ḓo ni kuvhanganya zwavhukuma kha vhathu, nda ni kuvhanganyela nnḓa ha mashango he na balanganiswa hone, nahone ndi ḓo ni ṋea shango ḽa Isiraele. Vha ḓo ya henengei, vha bvisa zwithu zwoṱhe zwi nengisaho zwaḽo na manyala oṱhe aḽo henefho. Nahone ndi ḓo vha ṋea mbilu nthihi, nda vhea muya muswa ngomu kha inwi; nahone mbilu ya tombo ndi ḓo i bvisa kha nyama yavho, nda vha ṋea mbilu ya nyama. Hesekiele 11:14–19.</w:t>
      </w:r>
    </w:p>
    <w:p>
      <w:pPr>
        <w:pStyle w:val="ArticleBody"/>
        <w:jc w:val="left"/>
      </w:pPr>
      <w:r>
        <w:rPr>
          <w:rFonts w:ascii="Times New Roman" w:hAnsi="Times New Roman" w:eastAsia="Times New Roman" w:cs="Times New Roman"/>
        </w:rPr>
        <w:t>Banyak lagi yang perlu dikatakan tentang pengumpulan seratus empat puluh empat ribu itu dalam hubungannya dengan “penyerakan,” tetapi terlebih dahulu kita perlu menghimpunkan pertimbangan mengenai tanda pengenalan Alfa dan Omega dalam kesembilan rujukan yang sedang kita pertimbangkan ini.</w:t>
      </w:r>
    </w:p>
    <w:p>
      <w:pPr>
        <w:pStyle w:val="ArticleBody"/>
        <w:jc w:val="left"/>
      </w:pPr>
      <w:r>
        <w:rPr>
          <w:rFonts w:ascii="Times New Roman" w:hAnsi="Times New Roman" w:eastAsia="Times New Roman" w:cs="Times New Roman"/>
        </w:rPr>
        <w:t>Kelas roa i repreder long tripela las sapta bilong Stat. Wanpela klas bilong ol bikhet na wanpela klas bilong ol saveman. Tupela klas wantaim i harim wanpela nek i tok, “Dispela em i rot; yupela wokabaut long en,” tasol wanpela klas i no laik harim biugel na wokabaut long olpela ol rot. Klas bilong ol bikhet long Stat 48 i go inap long 50 i stap olsem piksa bilong namba triin traib.</w:t>
      </w:r>
    </w:p>
    <w:p>
      <w:pPr>
        <w:pStyle w:val="ArticleBody"/>
        <w:jc w:val="left"/>
      </w:pPr>
      <w:r>
        <w:rPr>
          <w:rFonts w:ascii="Times New Roman" w:hAnsi="Times New Roman" w:eastAsia="Times New Roman" w:cs="Times New Roman"/>
        </w:rPr>
        <w:t>Pada permulaan Israel kuno terdapat tiga belas suku, dan pada permulaan Israel moden terdapat tiga belas murid. Seorang murid yang dibezakan daripada dua belas murid yang lain, (sebagaimana Efraim dibezakan daripada suku-suku yang lain) kedua-duanya merupakan lambang pemberontakan. Sister White secara langsung menyebut Yudas sebagai seorang dara bodoh.</w:t>
      </w:r>
    </w:p>
    <w:p>
      <w:pPr>
        <w:pStyle w:val="ArticleScripture"/>
        <w:jc w:val="left"/>
      </w:pPr>
      <w:r>
        <w:rPr>
          <w:rFonts w:ascii="Times New Roman" w:hAnsi="Times New Roman" w:eastAsia="Times New Roman" w:cs="Times New Roman"/>
        </w:rPr>
        <w:t>“Di antara gandum itu telah ada dan akan selalu ada lalang, gadis-gadis bodoh bersama gadis-gadis bijaksana, mereka yang tidak mempunyai minyak dalam buli-buli mereka bersama pelita mereka. Ada seorang Yudas yang tamak dalam gereja yang dibentuk Kristus di bumi, dan akan ada Yudas-Yudas dalam gereja pada setiap tahap sejarahnya.” Signs of the Times, 23 Oktober 1879.</w:t>
      </w:r>
    </w:p>
    <w:p>
      <w:pPr>
        <w:pStyle w:val="ArticleBody"/>
        <w:jc w:val="left"/>
      </w:pPr>
      <w:r>
        <w:rPr>
          <w:rFonts w:ascii="Times New Roman" w:hAnsi="Times New Roman" w:eastAsia="Times New Roman" w:cs="Times New Roman"/>
        </w:rPr>
        <w:t>Yudas Iskariot ialah seorang dara yang bodoh; dia ialah lalang, dan jika dia seorang dara yang bodoh, maka dia juga seorang Laodikia.</w:t>
      </w:r>
    </w:p>
    <w:p>
      <w:pPr>
        <w:pStyle w:val="ArticleScripture"/>
        <w:jc w:val="left"/>
      </w:pPr>
      <w:r>
        <w:rPr>
          <w:rFonts w:ascii="Times New Roman" w:hAnsi="Times New Roman" w:eastAsia="Times New Roman" w:cs="Times New Roman"/>
        </w:rPr>
        <w:t>“Keadaan Gereja yang dilambangkan oleh anak-anak dara yang bodoh itu, juga disebut sebagai keadaan Laodikia.” Review and Herald, 19 Ogos 1890.</w:t>
      </w:r>
    </w:p>
    <w:p>
      <w:pPr>
        <w:pStyle w:val="ArticleBody"/>
        <w:jc w:val="left"/>
      </w:pPr>
      <w:r>
        <w:rPr>
          <w:rFonts w:ascii="Times New Roman" w:hAnsi="Times New Roman" w:eastAsia="Times New Roman" w:cs="Times New Roman"/>
        </w:rPr>
        <w:t>Anak-anak lelaki Yusuf yang dua orang itu kedua-duanya menerima berkat daripada Yakub dalam Kejadian fasal empat puluh lapan, dan sejak saat itu mereka disebut sebagai “suku-suku separuh.” Sama ada suku separuh atau tidak, mereka tetap suku. Yudas Iskariot telah digantikan oleh Matias untuk mengisi tempat kedua belas yang dahulunya dipegang oleh Yudas Iskariot. Yudas ialah seorang murid, dan dalam pengertian ini—terdapat tiga belas murid pada penghujung Israel purba, sama seperti terdapat tiga belas suku pada permulaannya.</w:t>
      </w:r>
    </w:p>
    <w:p>
      <w:pPr>
        <w:pStyle w:val="ArticleBody"/>
        <w:jc w:val="left"/>
      </w:pPr>
      <w:r>
        <w:rPr>
          <w:rFonts w:ascii="Times New Roman" w:hAnsi="Times New Roman" w:eastAsia="Times New Roman" w:cs="Times New Roman"/>
        </w:rPr>
        <w:t>Anak Yusuf, Efraim (suku yang ketiga belas), menjadi lambang pemberontakan ketika sepuluh suku di utara berhimpun untuk menyokong Yerobeam lalu membahagikan kerajaan itu kepada sepuluh suku utara dan dua suku selatan. Mengapakah saya mengenal pasti Efraim, anak Yusuf, sebagai lambang pemberontakan dan bukannya saudaranya, Manasye? Pemberontakan yang dikaitkan dengan Efraim bermula dalam fasal empat puluh lapan, sebelum Yakub memberkati kedua belas orang anaknya. Dalam fasal empat puluh lapan, Yakub terlebih dahulu memberkati dua orang anak Yusuf. Oleh sebab Manasye ialah anak sulung, Yusuf menjangkakan bahawa berkat yang pertama atas anak-anaknya seharusnya diberikan kepada Manasye, lalu Yusuf memberontak terhadap pilihan Yakub atas Efraim.</w:t>
      </w:r>
    </w:p>
    <w:p>
      <w:pPr>
        <w:pStyle w:val="ArticleBody"/>
        <w:jc w:val="left"/>
      </w:pPr>
      <w:r>
        <w:rPr>
          <w:rFonts w:ascii="Times New Roman" w:hAnsi="Times New Roman" w:eastAsia="Times New Roman" w:cs="Times New Roman"/>
        </w:rPr>
        <w:t>Tshimoloho ya Eferaime e le moemedi wa bakgethwa ba Modimo e rwala bopaki jwa botsuolodi, mme bokhutlo jwa Eferaime ke phatlalatso ya “dinako di le supa” ya Lefitiko masome a mabedi le borataro go tswa ka 723 BC go fitlha ka 1798. Ka 723 BC ditso tse lesome tsa bokone, bogosi jwa Eferaime, (jo gape bo itseweng e le Iseraele) di ne tsa amogela ntho e e bolayang e le bogosi jwa porofeto ya Baebele. Ntho eo e e bolayang e simolotse porofeto ya nako e e khutletseng ka fa maatla a bopapa le bogosi jwa one di neng tsa amogela ntho e e bolayang ka 1798. Ntho e e bolayang ya maatla a bopapa ka 1798 e tshwantsha go wa ga bofelo ga Babelona fa kgosi ya bokone e tla “fitlha kwa bokhutlong jwa yone e se na ope yo o e thusang” mo go Daniele kgaolo ya lesome le nngwe temana ya masome a mane le botlhano. Botsuolodi le go wa ga Babelona mo metlheng ya bofelo di ne tsa tshwantshiwa pele ke botsuolodi le go wa ga maatla a bopapa ka 1798, tse le tsone di neng tsa tshwantshiwa pele ke botsuolodi le go wa ga bogosi jwa Eferaime (Iseraele) ka 723 BC, tse le tsone di neng tsa tshwantshiwa pele ke botsuolodi jwa Josefa kgatlhanong le tlhotlheletso ya boporofeti ya ga rraagwe jaaka go supilwe kwa bokhutlong jwa Genesise.</w:t>
      </w:r>
    </w:p>
    <w:p>
      <w:pPr>
        <w:pStyle w:val="ArticleBody"/>
        <w:jc w:val="left"/>
      </w:pPr>
      <w:r>
        <w:rPr>
          <w:rFonts w:ascii="Times New Roman" w:hAnsi="Times New Roman" w:eastAsia="Times New Roman" w:cs="Times New Roman"/>
        </w:rPr>
        <w:t>Bofetoji oyo Efraim azali elembo na yango ebandaki na bofetoji ya tata na ye (Jozefi) liboso ya tata na ye (Yakobo). Na nsuka, ememaka na bofetoji ya mabota zomi ya nɔrdi, oyo ememaka na “kopanzana oyo emonisami” lokola “mbala nsambo” na Baebele mokapo ya ntuku mibale na motoba. Eleko oyo bokonzi ya nɔrdi epanzanaki ekabolami na bileko mibale. Moko esukaka na mobu 538, mpe eleko oyo elandi esukaka na 1798, mpe nyonso ezali kolakisa nsango oyo efungolami kaka moke liboso ya ekuke ya ngolu kokangama na buku ya Emoniseli. Nsango yango emonisaka kokweya ya nsuka ya Babilone. Na elembo moko na moko ya nzela ya lisakoli ya Efraim, bofetoji etyami elembo. Ndenge moko mpe bofetoji ya moyekoli ya zomi na misato, Yuda Iskariote, etyami elembo. Oyo ezali mibale kati na batatoli oyo bamonisaka motango zomi na misato lokola elembo ya bofetoji. Kasi moko te kati na solo oyo ya bule akoki koyebana soki moto atelemi te likoló ya miboko ya Adventisme oyo etongamaki likoló ya solo ya liboso oyo Miller azwaki, mpe solo ya liboso oyo Adventisme ebwakaki.</w:t>
      </w:r>
    </w:p>
    <w:p>
      <w:pPr>
        <w:pStyle w:val="ArticleBody"/>
        <w:jc w:val="left"/>
      </w:pPr>
      <w:r>
        <w:rPr>
          <w:rFonts w:ascii="Times New Roman" w:hAnsi="Times New Roman" w:eastAsia="Times New Roman" w:cs="Times New Roman"/>
        </w:rPr>
        <w:t>Pengakhiran Kejadian selaras dengan semua garis lain yang telah kita pertimbangkan. Sebagai ringkasan:</w:t>
      </w:r>
    </w:p>
    <w:p>
      <w:pPr>
        <w:pStyle w:val="ArticleBody"/>
        <w:jc w:val="left"/>
      </w:pPr>
      <w:r>
        <w:rPr>
          <w:rFonts w:ascii="Times New Roman" w:hAnsi="Times New Roman" w:eastAsia="Times New Roman" w:cs="Times New Roman"/>
        </w:rPr>
        <w:t>Pada mulanya, tritunggal surgawi—Bapa, Putra, dan Roh Kudus—menyaksikan penciptaan langit dan bumi yang dilaksanakan oleh Putra, yang juga adalah Firman. Firman menjadi saluran komunikasi dari Bapa kepada umat manusia, dan Firman adalah satu-satunya jalan bagi umat manusia untuk berkomunikasi dengan Bapa. Pekabaran Bapa diberikan oleh Putra kepada malaikat Gabriel, yang menggantikan Lucifer (pembawa terang) setelah pemberontakan Lucifer di surga. Gabriel menerima terang, atau pekabaran itu, lalu menyampaikannya kepada seorang nabi, yaitu makhluk ciptaan yang kudus yang ditetapkan untuk meneruskan pekabaran dari Bapa kepada keluarga ciptaan yang telah jatuh. Pekabaran yang diberikan kepada nabi itu dituliskan, lalu disampaikan kepada umat manusia. Pada setiap tahap dalam proses komunikasi itu, pekabaran tersebut kudus, dan oleh karena alasan inilah para nabi, yang adalah manusia berdosa, harus kudus. Pada saat pekabaran yang kudus itu dipindahkan ke dalam tangan umat manusia yang telah jatuh, umat manusia memiliki kemungkinan untuk menangani pekabaran yang kudus dengan tangan yang tidak disucikan. Dengan demikian, terang dari pekabaran yang kudus itu menghasilkan baik terang maupun kegelapan. Ketika pekabaran itu diterima oleh mereka yang termasuk dalam keluarga manusia yang telah jatuh, di dalamnya terkandung kuasa kreatif yang sama yang telah menciptakan segala sesuatu, yaitu kuasa yang membenarkan makhluk itu. Permulaan proses komunikasi itu menggambarkan akhirnya. Oleh karena itu, jika pekabaran itu didengar, dibaca, dan dipelihara, pekabaran itu menciptakan kembali umat manusia yang telah jatuh ke dalam gambar Putra.</w:t>
      </w:r>
    </w:p>
    <w:p>
      <w:pPr>
        <w:pStyle w:val="ArticleScripture"/>
        <w:jc w:val="left"/>
      </w:pPr>
      <w:r>
        <w:rPr>
          <w:rFonts w:ascii="Times New Roman" w:hAnsi="Times New Roman" w:eastAsia="Times New Roman" w:cs="Times New Roman"/>
        </w:rPr>
        <w:t>“Berkatilah orang yang membaca, dan mereka yang mendengar perkataan nubuat ini, serta memelihara segala sesuatu yang tertulis di dalamnya; karena waktunya sudah dekat.” Wahyu 1:3.</w:t>
      </w:r>
    </w:p>
    <w:p>
      <w:pPr>
        <w:pStyle w:val="ArticleBody"/>
        <w:jc w:val="left"/>
      </w:pPr>
      <w:r>
        <w:rPr>
          <w:rFonts w:ascii="Times New Roman" w:hAnsi="Times New Roman" w:eastAsia="Times New Roman" w:cs="Times New Roman"/>
        </w:rPr>
        <w:t>Yohana o kombisa vanhu lava waheke emisaveni “emasikwini yo hetelela” ya vuavanyisi byo lavisisa, lava twaka rito endzhaku ka vona kutani va hundzuluka leswaku va amukela rungula leri va kongomisaka eka leswi nga hundza. Lava amukelaka rungula rero kutani va ri endla leswaku ri nga vi xiphemu ntsena xa vutomi bya vona, kambe ri va vutomi bya vona ntsena, va tengisiwa kwalaho hi nkarhi wolowo. Ku tengisiwa i ku endliwa lowo kwetsima. Loko lava endlaka ku hlaya ni ku twa rungula leri rhumiweke hi Tata va amukela rungula rero kutani va endliwa lava kwetsimaka, swi va hi matimba ya vumbirhi lama tumbuluxaka lama nga endzeni ka rungula rero. Matimba wolawo ya vumbirhi ma hetisisa ntirho wo tengisa vanhu, loko vanhu va pfumela hilaha Abrahama a pfumeleke hakona. Rungula rero ri va letela ku hundzuluka kutani va yingisa rito leri nga endzhaku, leri va kongomisaka etindleleni ta khale, leti nga ntiyiso wa masungulo. Rungula rero ri va kongomisa eku ngheneni ka ntiyiso hinkwawo, kutani loko va famba etindleleni ta khale, va va va famba endleleni ya lava tengisiweke.</w:t>
      </w:r>
    </w:p>
    <w:p>
      <w:pPr>
        <w:pStyle w:val="ArticleScripture"/>
        <w:jc w:val="left"/>
      </w:pPr>
      <w:r>
        <w:rPr>
          <w:rFonts w:ascii="Times New Roman" w:hAnsi="Times New Roman" w:eastAsia="Times New Roman" w:cs="Times New Roman"/>
        </w:rPr>
        <w:t>Akan tetapi, jalan orang benar adalah seperti cahaya yang bersinar, yang makin lama makin terang sampai kepada hari yang sempurna. Jalan orang fasik adalah seperti kegelapan; mereka tidak mengetahui pada apa mereka tersandung. Hai anakku, perhatikanlah perkataanku; arahkanlah telingamu kepada ucapanku. Janganlah semuanya itu menjauh dari matamu; simpanlah itu di tengah-tengah hatimu. Karena semuanya itu adalah kehidupan bagi orang yang menemukannya, dan kesehatan bagi seluruh tubuh mereka. Jagalah hatimu dengan segala kewaspadaan; karena dari situlah terpancar mata air kehidupan. Jauhkanlah dari padamu mulut yang serong, dan jauhkanlah dari padamu bibir yang sesat. Biarlah matamu memandang terus ke depan, dan biarlah kelopak matamu menatap lurus di hadapanmu. Pertimbangkanlah jalan kakimu, maka segala jalanmu akan tetap teguh. Janganlah menyimpang ke kanan atau ke kiri; jauhkanlah kakimu dari kejahatan. Amsal 4:18–27.</w:t>
      </w:r>
    </w:p>
    <w:p>
      <w:pPr>
        <w:pStyle w:val="ArticleBody"/>
        <w:jc w:val="left"/>
      </w:pPr>
      <w:r>
        <w:rPr>
          <w:rFonts w:ascii="Times New Roman" w:hAnsi="Times New Roman" w:eastAsia="Times New Roman" w:cs="Times New Roman"/>
        </w:rPr>
        <w:t>Abo wɔabu wɔn bem denam nkra a wɔde mae no so no nantew wɔ ɔkwan a egyina hɔ ma hann a ɛkɔ so yɛ kɛse no so, nanso saa hann no ara ma amumɔyɛfoɔ kwan no yɛ sum kɛse paa sɛnea ɛfata. Hann twa ne ho fi sum ho. Tumi bɔadeɛ a ɔhyɛɛ sɛ hann mmra wɔ mfiase no mu no, wɔ awiei no nso yɛ saa ara wɔ adesamma so sɛnea hann yɛe wɔ mfiase no. Kuw a wɔpow sɛ wɔbɛte nne a ɛwɔ akyi no, na enti wɔpaw sɛ wɔbɛnantew ɔkwan a wɔde ayɛ sum no so no “hintiw” wɔ ne Asɛm no ho, efisɛ wohintiw wɔ fapem boɔ no ho, boɔ dada a wɔasɔ ahwɛ no. Nne no ne Alfa ne Omega, na sɛ wɔn a wɔabu wɔn bem no te saa nsɛm no na wɔde wɔn koma kɔ saa nsɛm no so a, wɔkora saa nsɛm no wɔ wɔn koma mfinimfini, efisɛ Alfa ne Omega dane wɔn koma kɔ agyanom no so, (atwam no) na agyanom no koma kyerɛ awiei no.</w:t>
      </w:r>
    </w:p>
    <w:p>
      <w:pPr>
        <w:pStyle w:val="ArticleScripture"/>
        <w:jc w:val="left"/>
      </w:pPr>
      <w:r>
        <w:rPr>
          <w:rFonts w:ascii="Times New Roman" w:hAnsi="Times New Roman" w:eastAsia="Times New Roman" w:cs="Times New Roman"/>
        </w:rPr>
        <w:t>Jalan orang benar itu lurus; Engkau, Yang Mahalurus, menimbang jalan orang benar. Ya, di jalan penghukuman-Mu, ya TUHAN, kami menantikan Engkau; kerinduan jiwa kami tertuju kepada nama-Mu dan kepada peringatan akan Engkau. Dengan jiwaku aku merindukan Engkau pada waktu malam; ya, dengan rohku yang ada di dalam diriku aku akan mencari Engkau sejak pagi-pagi benar; sebab apabila penghukuman-Mu ada di bumi, penduduk dunia akan belajar kebenaran. Yesaya 26:7–9.</w:t>
      </w:r>
    </w:p>
    <w:p>
      <w:pPr>
        <w:pStyle w:val="ArticleBody"/>
        <w:jc w:val="left"/>
      </w:pPr>
      <w:r>
        <w:rPr>
          <w:rFonts w:ascii="Times New Roman" w:hAnsi="Times New Roman" w:eastAsia="Times New Roman" w:cs="Times New Roman"/>
        </w:rPr>
        <w:t>Nkulunkulu uyabalinganisa, noma uyabahlulela, labo abahamba endleleni yabalungileyo, futhi ukwenza lokho “ezinsukwini zokugcina” lapho izahlulelo zaKhe zisemhlabeni. Abalungileyo yilabo abalinde iNkosi ngokugcwaliseka kwesikhathi sokulibala emfanekisweni wezintombi eziyishumi. Isifiso salabo abahamba endleleni yolwazi olwandayo, siwukuba babe nokuqonda okukhulu ngokwengeziwe kwegama likaNkulunkulu, isimilo saKhe. Labo abalinde iNkosi yabo, yilabo abamemezela umlayezo wokugcina wesixwayiso, ngoba yibo abamemezela Isililo Saphakathi Nobusuku, okuyiso impela isigijimi sokuqala sangaphakathi seSambulo isahluko 18, esilandelwa isigijimi sesibili, esingesangaphandle.</w:t>
      </w:r>
    </w:p>
    <w:p>
      <w:pPr>
        <w:pStyle w:val="ArticleScripture"/>
        <w:jc w:val="left"/>
      </w:pPr>
      <w:r>
        <w:rPr>
          <w:rFonts w:ascii="Times New Roman" w:hAnsi="Times New Roman" w:eastAsia="Times New Roman" w:cs="Times New Roman"/>
        </w:rPr>
        <w:t>Ni baada ya mambo hayo nikamwona malaika mwingine akishuka kutoka mbinguni, akiwa na mamlaka makuu; nayo dunia ikaangazwa kwa utukufu wake. Naye akalia kwa nguvu kwa sauti kuu, akisema, Babeli mkuu ameanguka, ameanguka, naye amekuwa makao ya mapepo, na ngome ya kila roho mchafu, na kizimba cha kila ndege mchafu na wa kuchukiza. Kwa maana mataifa yote wamekunywa divai ya ghadhabu ya uasherati wake, na wafalme wa dunia wamezini naye, nao wafanyabiashara wa dunia wamepata utajiri kwa wingi wa anasa zake. Nikasikia sauti nyingine kutoka mbinguni, ikisema, Tokeni kwake, enyi watu wangu, msije mkashiriki dhambi zake, wala msipokee mapigo yake. Ufunuo 18:1–4.</w:t>
      </w:r>
    </w:p>
    <w:p>
      <w:pPr>
        <w:pStyle w:val="ArticleBody"/>
        <w:jc w:val="left"/>
      </w:pPr>
      <w:r>
        <w:rPr>
          <w:rFonts w:ascii="Leelawadee UI" w:hAnsi="Leelawadee UI" w:eastAsia="Leelawadee UI" w:cs="Leelawadee UI"/>
        </w:rPr>
        <w:t>ហើយនៅពេលទេវតានៃ</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18 </w:t>
      </w:r>
      <w:r>
        <w:rPr>
          <w:rFonts w:ascii="Leelawadee UI" w:hAnsi="Leelawadee UI" w:eastAsia="Leelawadee UI" w:cs="Leelawadee UI"/>
        </w:rPr>
        <w:t>ចុះមកនៅថ្ងៃទី</w:t>
      </w:r>
      <w:r>
        <w:rPr>
          <w:rFonts w:ascii="Times New Roman" w:hAnsi="Times New Roman" w:eastAsia="Times New Roman" w:cs="Times New Roman"/>
        </w:rPr>
        <w:t xml:space="preserve"> 11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2001 </w:t>
      </w:r>
      <w:r>
        <w:rPr>
          <w:rFonts w:ascii="Leelawadee UI" w:hAnsi="Leelawadee UI" w:eastAsia="Leelawadee UI" w:cs="Leelawadee UI"/>
        </w:rPr>
        <w:t>ព្រះវិហារសេវិនដេអាដ</w:t>
      </w:r>
      <w:r>
        <w:rPr>
          <w:rFonts w:ascii="Times New Roman" w:hAnsi="Times New Roman" w:eastAsia="Times New Roman" w:cs="Times New Roman"/>
        </w:rPr>
        <w:t>վեն</w:t>
      </w:r>
      <w:r>
        <w:rPr>
          <w:rFonts w:ascii="Leelawadee UI" w:hAnsi="Leelawadee UI" w:eastAsia="Leelawadee UI" w:cs="Leelawadee UI"/>
        </w:rPr>
        <w:t>ទីស្ទបានបដិសេធការហៅចុងក្រោយរបស់ខ្លួនឲ្យត្រឡប់ទៅកាន់ផ្លូវបុរាណវិញ។</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វាបានឈប់ធ្វើជាស្នែងនៃប្រូតេស្តង់ពិតនៅសហរដ្ឋអាមេរិក។</w:t>
      </w:r>
      <w:r>
        <w:rPr>
          <w:rFonts w:ascii="Times New Roman" w:hAnsi="Times New Roman" w:eastAsia="Times New Roman" w:cs="Times New Roman"/>
        </w:rPr>
        <w:t xml:space="preserve"> </w:t>
      </w:r>
      <w:r>
        <w:rPr>
          <w:rFonts w:ascii="Leelawadee UI" w:hAnsi="Leelawadee UI" w:eastAsia="Leelawadee UI" w:cs="Leelawadee UI"/>
        </w:rPr>
        <w:t>នៅចំណុចនោះ</w:t>
      </w:r>
      <w:r>
        <w:rPr>
          <w:rFonts w:ascii="Times New Roman" w:hAnsi="Times New Roman" w:eastAsia="Times New Roman" w:cs="Times New Roman"/>
        </w:rPr>
        <w:t xml:space="preserve"> </w:t>
      </w:r>
      <w:r>
        <w:rPr>
          <w:rFonts w:ascii="Leelawadee UI" w:hAnsi="Leelawadee UI" w:eastAsia="Leelawadee UI" w:cs="Leelawadee UI"/>
        </w:rPr>
        <w:t>ដំណើរការនៃការសាកល្បងមួយបានចាប់ផ្តើមសម្រាប់អ្នកដែលបានជ្រើសរើសយកសារនៃសំឡេងដ៏ខ្លាំងនោះ</w:t>
      </w:r>
      <w:r>
        <w:rPr>
          <w:rFonts w:ascii="Times New Roman" w:hAnsi="Times New Roman" w:eastAsia="Times New Roman" w:cs="Times New Roman"/>
        </w:rPr>
        <w:t xml:space="preserve"> </w:t>
      </w:r>
      <w:r>
        <w:rPr>
          <w:rFonts w:ascii="Leelawadee UI" w:hAnsi="Leelawadee UI" w:eastAsia="Leelawadee UI" w:cs="Leelawadee UI"/>
        </w:rPr>
        <w:t>ហើយបរិភោគវា</w:t>
      </w:r>
      <w:r>
        <w:rPr>
          <w:rFonts w:ascii="Times New Roman" w:hAnsi="Times New Roman" w:eastAsia="Times New Roman" w:cs="Times New Roman"/>
        </w:rPr>
        <w:t xml:space="preserve"> </w:t>
      </w:r>
      <w:r>
        <w:rPr>
          <w:rFonts w:ascii="Leelawadee UI" w:hAnsi="Leelawadee UI" w:eastAsia="Leelawadee UI" w:cs="Leelawadee UI"/>
        </w:rPr>
        <w:t>ដូចដែលបានតំណាងជាមុនដោយយ៉ូហាន</w:t>
      </w:r>
      <w:r>
        <w:rPr>
          <w:rFonts w:ascii="Times New Roman" w:hAnsi="Times New Roman" w:eastAsia="Times New Roman" w:cs="Times New Roman"/>
        </w:rPr>
        <w:t xml:space="preserve"> </w:t>
      </w:r>
      <w:r>
        <w:rPr>
          <w:rFonts w:ascii="Leelawadee UI" w:hAnsi="Leelawadee UI" w:eastAsia="Leelawadee UI" w:cs="Leelawadee UI"/>
        </w:rPr>
        <w:t>នៅពេលទេវតានៃ</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10 </w:t>
      </w:r>
      <w:r>
        <w:rPr>
          <w:rFonts w:ascii="Leelawadee UI" w:hAnsi="Leelawadee UI" w:eastAsia="Leelawadee UI" w:cs="Leelawadee UI"/>
        </w:rPr>
        <w:t>ចុះមកនៅដើមកំណើតនៃអាដ</w:t>
      </w:r>
      <w:r>
        <w:rPr>
          <w:rFonts w:ascii="Times New Roman" w:hAnsi="Times New Roman" w:eastAsia="Times New Roman" w:cs="Times New Roman"/>
        </w:rPr>
        <w:t>վեն</w:t>
      </w:r>
      <w:r>
        <w:rPr>
          <w:rFonts w:ascii="Leelawadee UI" w:hAnsi="Leelawadee UI" w:eastAsia="Leelawadee UI" w:cs="Leelawadee UI"/>
        </w:rPr>
        <w:t>ទីសម</w:t>
      </w:r>
      <w:r>
        <w:rPr>
          <w:rFonts w:ascii="Times New Roman" w:hAnsi="Times New Roman" w:eastAsia="Times New Roman" w:cs="Times New Roman"/>
        </w:rPr>
        <w:t xml:space="preserve"> </w:t>
      </w:r>
      <w:r>
        <w:rPr>
          <w:rFonts w:ascii="Leelawadee UI" w:hAnsi="Leelawadee UI" w:eastAsia="Leelawadee UI" w:cs="Leelawadee UI"/>
        </w:rPr>
        <w:t>នៅថ្ងៃទី</w:t>
      </w:r>
      <w:r>
        <w:rPr>
          <w:rFonts w:ascii="Times New Roman" w:hAnsi="Times New Roman" w:eastAsia="Times New Roman" w:cs="Times New Roman"/>
        </w:rPr>
        <w:t xml:space="preserve"> 11 </w:t>
      </w:r>
      <w:r>
        <w:rPr>
          <w:rFonts w:ascii="Leelawadee UI" w:hAnsi="Leelawadee UI" w:eastAsia="Leelawadee UI" w:cs="Leelawadee UI"/>
        </w:rPr>
        <w:t>ខែសីហា</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1840</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ប្រជាជាតិខាងវិញ្ញាណដែលបានទទួលយកអាវធំនៃប្រូតេស្តង់ពិត</w:t>
      </w:r>
      <w:r>
        <w:rPr>
          <w:rFonts w:ascii="Times New Roman" w:hAnsi="Times New Roman" w:eastAsia="Times New Roman" w:cs="Times New Roman"/>
        </w:rPr>
        <w:t xml:space="preserve"> </w:t>
      </w:r>
      <w:r>
        <w:rPr>
          <w:rFonts w:ascii="Leelawadee UI" w:hAnsi="Leelawadee UI" w:eastAsia="Leelawadee UI" w:cs="Leelawadee UI"/>
        </w:rPr>
        <w:t>នៅពេលសាររបស់ទេវតាទីមួយត្រូវបានបដិសេធ</w:t>
      </w:r>
      <w:r>
        <w:rPr>
          <w:rFonts w:ascii="Times New Roman" w:hAnsi="Times New Roman" w:eastAsia="Times New Roman" w:cs="Times New Roman"/>
        </w:rPr>
        <w:t xml:space="preserve"> </w:t>
      </w:r>
      <w:r>
        <w:rPr>
          <w:rFonts w:ascii="Leelawadee UI" w:hAnsi="Leelawadee UI" w:eastAsia="Leelawadee UI" w:cs="Leelawadee UI"/>
        </w:rPr>
        <w:t>នោះបានដើរតាមដានជើងរបស់ប្រូតេស្តង់ក្បត់ជំនឿ</w:t>
      </w:r>
      <w:r>
        <w:rPr>
          <w:rFonts w:ascii="Times New Roman" w:hAnsi="Times New Roman" w:eastAsia="Times New Roman" w:cs="Times New Roman"/>
        </w:rPr>
        <w:t xml:space="preserve"> </w:t>
      </w:r>
      <w:r>
        <w:rPr>
          <w:rFonts w:ascii="Leelawadee UI" w:hAnsi="Leelawadee UI" w:eastAsia="Leelawadee UI" w:cs="Leelawadee UI"/>
        </w:rPr>
        <w:t>នៅដើមកំណើតនៃអាដ</w:t>
      </w:r>
      <w:r>
        <w:rPr>
          <w:rFonts w:ascii="Times New Roman" w:hAnsi="Times New Roman" w:eastAsia="Times New Roman" w:cs="Times New Roman"/>
        </w:rPr>
        <w:t>վեն</w:t>
      </w:r>
      <w:r>
        <w:rPr>
          <w:rFonts w:ascii="Leelawadee UI" w:hAnsi="Leelawadee UI" w:eastAsia="Leelawadee UI" w:cs="Leelawadee UI"/>
        </w:rPr>
        <w:t>ទីសម។</w:t>
      </w:r>
    </w:p>
    <w:p>
      <w:pPr>
        <w:pStyle w:val="ArticleBody"/>
        <w:jc w:val="left"/>
      </w:pPr>
      <w:r>
        <w:rPr>
          <w:rFonts w:ascii="Times New Roman" w:hAnsi="Times New Roman" w:eastAsia="Times New Roman" w:cs="Times New Roman"/>
        </w:rPr>
        <w:t>Nokon miŋsila tara Protestant hornko una manderenggipa saoba Revelation ba chikkung-o angelo ni jak-o gnangipa chongipa ki·tapni kattarangko ra·chakgiparangna on·aha. Adventismni a·bachengani somoio, 1840 oni 1844 bilsi jolgimiko, dake niani proses, September 11, 2001 oni United States-o Sunday law ong·bana kingking Adventismni bon·kamani somoio dake niani prosesko mesokaha. Skanggipa itihas 1840 oni 1844 bilsini gisepo, aro September 11, 2001 salo a·bachenggipa dake niani proses, Protestantismni mantle-ko rim·gipa skanggipa bebera·giparangni mondolini a·seloni, chongmotgipa Protestantismni mantle-ko ra·gipa gital bebera·giparangni mondoliona, dispensationni saksa dingaona re·angani chin ong·a.</w:t>
      </w:r>
    </w:p>
    <w:p>
      <w:pPr>
        <w:pStyle w:val="ArticleBody"/>
        <w:jc w:val="left"/>
      </w:pPr>
      <w:r>
        <w:rPr>
          <w:rFonts w:ascii="Times New Roman" w:hAnsi="Times New Roman" w:eastAsia="Times New Roman" w:cs="Times New Roman"/>
        </w:rPr>
        <w:t>Lebih penting bagi pertimbangan kita tentang jalan orang yang dibenarkan ialah bahawa dalam sejarah itu terdapat suatu kekecewaan yang menandai permulaan masa penangguhan. Orang-orang setia menantikan Tuhan mereka pada waktu itu, yang berakhir dengan pembukaan meterai pekabaran Seruan Tengah Malam. Proses pengujian itu pada permulaan Adventisme berakhir apabila pekabaran Seruan Tengah Malam mencapai penutupannya pada 22 Oktober 1844. Proses pengujian pada akhir itu berakhir bagi mereka yang diwakili oleh Yohanes pada waktu undang-undang hari Ahad di Amerika Syarikat. Pekabaran Seruan Tengah Malam pada akhir itu akan berakhir sama seperti pada permulaannya, dan pada permulaan Adventisme pekabaran Seruan Tengah Malam itu telah dibuka meterainya sebelum penutupan proses pengujian. Pekabaran Seruan Tengah Malam pada permulaan kini sedang dibuka meterainya pada akhir.</w:t>
      </w:r>
    </w:p>
    <w:p>
      <w:pPr>
        <w:pStyle w:val="ArticleBody"/>
        <w:jc w:val="left"/>
      </w:pPr>
      <w:r>
        <w:rPr>
          <w:rFonts w:ascii="Times New Roman" w:hAnsi="Times New Roman" w:eastAsia="Times New Roman" w:cs="Times New Roman"/>
        </w:rPr>
        <w:t>Makhindzhwa ya lunghisiweke yo tlhariha ma nghena eka ntwanano na Xikwembu loko makhinsati yo homboloka yo humbuka ma nghena eka ntwanano wa rifu.</w:t>
      </w:r>
    </w:p>
    <w:p>
      <w:pPr>
        <w:pStyle w:val="ArticleScripture"/>
        <w:jc w:val="left"/>
      </w:pPr>
      <w:r>
        <w:rPr>
          <w:rFonts w:ascii="Times New Roman" w:hAnsi="Times New Roman" w:eastAsia="Times New Roman" w:cs="Times New Roman"/>
        </w:rPr>
        <w:t>Ia berfirman kepada mereka: Inilah perhentian yang dengan itu kamu dapat memberi kelegaan kepada orang yang letih; dan inilah penyegaran itu; namun mereka tidak mau mendengar. Maka firman TUHAN bagi mereka menjadi: perintah demi perintah, perintah demi perintah; baris demi baris, baris demi baris; di sini sedikit, dan di sana sedikit; supaya mereka pergi, lalu jatuh terlentang ke belakang, diremukkan, dijerat, dan tertangkap. Sebab itu dengarkanlah firman TUHAN, hai orang-orang pencemooh, yang memerintah bangsa ini yang ada di Yerusalem. Oleh karena kamu telah berkata: Kami telah mengadakan perjanjian dengan maut, dan dengan dunia orang mati kami telah membuat persetujuan; apabila cemeti yang melanda itu berlalu, itu tidak akan sampai kepada kami; sebab kami telah menjadikan dusta sebagai perlindungan kami, dan di bawah kepalsuan kami telah menyembunyikan diri kami: sebab itu beginilah firman Tuhan ALLAH: Sesungguhnya, Aku meletakkan di Sion sebagai dasar sebuah batu, batu yang teruji, batu penjuru yang berharga, suatu dasar yang teguh: barangsiapa percaya tidak akan tergesa-gesa. Yesaya 28:12–16.</w:t>
      </w:r>
    </w:p>
    <w:p>
      <w:pPr>
        <w:pStyle w:val="ArticleBody"/>
        <w:jc w:val="left"/>
      </w:pPr>
      <w:r>
        <w:rPr>
          <w:rFonts w:ascii="Times New Roman" w:hAnsi="Times New Roman" w:eastAsia="Times New Roman" w:cs="Times New Roman"/>
        </w:rPr>
        <w:t>Ba ba siam ka jingkhubor bakhuid jong ka Midnight Cry sha ka balang, bad hadien kata ki ialap ia ka jingkhubor jong ka second voice katba ki khot ia u bynriew ban mih noh na Babylon.</w:t>
      </w:r>
    </w:p>
    <w:p>
      <w:pPr>
        <w:pStyle w:val="ArticleScripture"/>
        <w:jc w:val="left"/>
      </w:pPr>
      <w:r>
        <w:rPr>
          <w:rFonts w:ascii="Times New Roman" w:hAnsi="Times New Roman" w:eastAsia="Times New Roman" w:cs="Times New Roman"/>
        </w:rPr>
        <w:t>“Ukudareka kwa wukudareka kwa chiwoko cha paumaliro kwa chenjesho la dziko lapansi, mpingo ukupokera maitanidwe mawiri osiyana. Uthenga wa mngelo wachiwiri ndi uwu, ‘Babulo wagwa, wagwa, mzinda waukulu uja, chifukwa wamwetsa mitundu yonse vinyo wa mkwiyo wa dama lake.’ Ndipo mu kulira kwakukulu kwa uthenga wa mngelo wachitatu, mawu amveka kuchokera kumwamba akuti, ‘Tulukanimo mwa iye, anthu anga, kuti musakhale ogawana naye machimo ake, ndi kuti musalandire miliri yake. Pakuti machimo ake afika kufikira kumwamba, ndipo Mulungu wakumbukira mphulupulu zake.’” Review and Herald, December 6, 1892.</w:t>
      </w:r>
    </w:p>
    <w:p>
      <w:pPr>
        <w:pStyle w:val="ArticleBody"/>
        <w:jc w:val="left"/>
      </w:pPr>
      <w:r>
        <w:rPr>
          <w:rFonts w:ascii="Times New Roman" w:hAnsi="Times New Roman" w:eastAsia="Times New Roman" w:cs="Times New Roman"/>
        </w:rPr>
        <w:t>Awuɔ afoforo fi Babilon mu ba bɛka wɔn a wɔnante treneefo kwan so no ho no, wɔgye wɔn tom kɔ nguankuw no mu denam asubɔ a nsu wom no so, a wɔde ɔsoro baasa no din gyina hɔ ma no. Wɔn a wɔabu wɔn bem no, sɛ́ ebia wɔyɛ wɔn a seesei wɔrete nkra a wɔde maa Yohane wɔ Patmos no, anaa wɔn a akyiri yi wɔfrɛ wɔn fi Babilon mu no, wɔn nyinaa bu wɔn bem denam Honhom Kronkron no nkyerɛkyerɛmu so. Saa nkabom no a ɛda Honhom Kronkron no Nyamesu ne onipa su ntam no, wɔwiee no, sɛnea wɔde sii hɔ sɛ nhwɛso no, bere a Kristo faa onipa su hyɛɛ ne ho so no. Wogyinaa adansefo baanu no so gyinaa ɔha aduanan anan no ma, Yakob mma dumien no ne asuafo dumien no. Wogyina abɔnefo no ma wɔ abusuakuw a ɛto so dumiɛnsa no ne osuani a ɔto so dumiɛnsa no so. “Dumiɛnsanom” no nyinaa, wɔ mfonini biara mu no, wɔfrɛɛ wɔn sɛ wɔnyɛ asɔfo mma Onyankopɔn, na wɔn a wɔpow saa frɛ no, wɔde Esau gyina hɔ ma wɔn, bere a ne nua kumaa Yakob gyina hɔ ma wɔn a wogye frɛ no tom no. Esau ne Yakob nyinaa gyina Laodikea Da a Ɛto so Nson Adventfo wɔ wiase awiei no hɔ. Kuw baako no gye nkra kronkron a wɔde nam odiyifo no nkyerɛw so de mae no tom na wɔsakra wɔn ma wɔyɛ Israel, bere a Esau kura ne din mu.</w:t>
      </w:r>
    </w:p>
    <w:p>
      <w:pPr>
        <w:pStyle w:val="ArticleBody"/>
        <w:jc w:val="left"/>
      </w:pPr>
      <w:r>
        <w:rPr>
          <w:rFonts w:ascii="Nirmala UI" w:hAnsi="Nirmala UI" w:eastAsia="Nirmala UI" w:cs="Nirmala UI"/>
        </w:rPr>
        <w:t>চিনাৱ</w:t>
      </w:r>
      <w:r>
        <w:rPr>
          <w:rFonts w:ascii="Times New Roman" w:hAnsi="Times New Roman" w:eastAsia="Times New Roman" w:cs="Times New Roman"/>
        </w:rPr>
        <w:t xml:space="preserve">, </w:t>
      </w:r>
      <w:r>
        <w:rPr>
          <w:rFonts w:ascii="Nirmala UI" w:hAnsi="Nirmala UI" w:eastAsia="Nirmala UI" w:cs="Nirmala UI"/>
        </w:rPr>
        <w:t>আলফা</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ওমেগাৰ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নটা</w:t>
      </w:r>
      <w:r>
        <w:rPr>
          <w:rFonts w:ascii="Times New Roman" w:hAnsi="Times New Roman" w:eastAsia="Times New Roman" w:cs="Times New Roman"/>
        </w:rPr>
        <w:t xml:space="preserve"> </w:t>
      </w:r>
      <w:r>
        <w:rPr>
          <w:rFonts w:ascii="Nirmala UI" w:hAnsi="Nirmala UI" w:eastAsia="Nirmala UI" w:cs="Nirmala UI"/>
        </w:rPr>
        <w:t>শাৰীত</w:t>
      </w:r>
      <w:r>
        <w:rPr>
          <w:rFonts w:ascii="Times New Roman" w:hAnsi="Times New Roman" w:eastAsia="Times New Roman" w:cs="Times New Roman"/>
        </w:rPr>
        <w:t xml:space="preserve"> </w:t>
      </w:r>
      <w:r>
        <w:rPr>
          <w:rFonts w:ascii="Nirmala UI" w:hAnsi="Nirmala UI" w:eastAsia="Nirmala UI" w:cs="Nirmala UI"/>
        </w:rPr>
        <w:t>অৱশ্যেই</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বহুত</w:t>
      </w:r>
      <w:r>
        <w:rPr>
          <w:rFonts w:ascii="Times New Roman" w:hAnsi="Times New Roman" w:eastAsia="Times New Roman" w:cs="Times New Roman"/>
        </w:rPr>
        <w:t xml:space="preserve"> </w:t>
      </w:r>
      <w:r>
        <w:rPr>
          <w:rFonts w:ascii="Nirmala UI" w:hAnsi="Nirmala UI" w:eastAsia="Nirmala UI" w:cs="Nirmala UI"/>
        </w:rPr>
        <w:t>অধিক</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নিহিত</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কিয়নো</w:t>
      </w:r>
      <w:r>
        <w:rPr>
          <w:rFonts w:ascii="Times New Roman" w:hAnsi="Times New Roman" w:eastAsia="Times New Roman" w:cs="Times New Roman"/>
        </w:rPr>
        <w:t xml:space="preserve"> </w:t>
      </w:r>
      <w:r>
        <w:rPr>
          <w:rFonts w:ascii="Nirmala UI" w:hAnsi="Nirmala UI" w:eastAsia="Nirmala UI" w:cs="Nirmala UI"/>
        </w:rPr>
        <w:t>ই</w:t>
      </w:r>
      <w:r>
        <w:rPr>
          <w:rFonts w:ascii="Times New Roman" w:hAnsi="Times New Roman" w:eastAsia="Times New Roman" w:cs="Times New Roman"/>
        </w:rPr>
        <w:t xml:space="preserve"> </w:t>
      </w:r>
      <w:r>
        <w:rPr>
          <w:rFonts w:ascii="Nirmala UI" w:hAnsi="Nirmala UI" w:eastAsia="Nirmala UI" w:cs="Nirmala UI"/>
        </w:rPr>
        <w:t>কেৱল</w:t>
      </w:r>
      <w:r>
        <w:rPr>
          <w:rFonts w:ascii="Times New Roman" w:hAnsi="Times New Roman" w:eastAsia="Times New Roman" w:cs="Times New Roman"/>
        </w:rPr>
        <w:t xml:space="preserve"> </w:t>
      </w:r>
      <w:r>
        <w:rPr>
          <w:rFonts w:ascii="Nirmala UI" w:hAnsi="Nirmala UI" w:eastAsia="Nirmala UI" w:cs="Nirmala UI"/>
        </w:rPr>
        <w:t>ঈশ্বৰৰ</w:t>
      </w:r>
      <w:r>
        <w:rPr>
          <w:rFonts w:ascii="Times New Roman" w:hAnsi="Times New Roman" w:eastAsia="Times New Roman" w:cs="Times New Roman"/>
        </w:rPr>
        <w:t xml:space="preserve"> </w:t>
      </w:r>
      <w:r>
        <w:rPr>
          <w:rFonts w:ascii="Nirmala UI" w:hAnsi="Nirmala UI" w:eastAsia="Nirmala UI" w:cs="Nirmala UI"/>
        </w:rPr>
        <w:t>বাক্যত</w:t>
      </w:r>
      <w:r>
        <w:rPr>
          <w:rFonts w:ascii="Times New Roman" w:hAnsi="Times New Roman" w:eastAsia="Times New Roman" w:cs="Times New Roman"/>
        </w:rPr>
        <w:t xml:space="preserve"> </w:t>
      </w:r>
      <w:r>
        <w:rPr>
          <w:rFonts w:ascii="Nirmala UI" w:hAnsi="Nirmala UI" w:eastAsia="Nirmala UI" w:cs="Nirmala UI"/>
        </w:rPr>
        <w:t>আৰম্ভণি</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অন্তসমূহৰ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সংক্ষিপ্ত</w:t>
      </w:r>
      <w:r>
        <w:rPr>
          <w:rFonts w:ascii="Times New Roman" w:hAnsi="Times New Roman" w:eastAsia="Times New Roman" w:cs="Times New Roman"/>
        </w:rPr>
        <w:t xml:space="preserve"> </w:t>
      </w:r>
      <w:r>
        <w:rPr>
          <w:rFonts w:ascii="Nirmala UI" w:hAnsi="Nirmala UI" w:eastAsia="Nirmala UI" w:cs="Nirmala UI"/>
        </w:rPr>
        <w:t>সাৰাংশ</w:t>
      </w:r>
      <w:r>
        <w:rPr>
          <w:rFonts w:ascii="Times New Roman" w:hAnsi="Times New Roman" w:eastAsia="Times New Roman" w:cs="Times New Roman"/>
        </w:rPr>
        <w:t>-</w:t>
      </w:r>
      <w:r>
        <w:rPr>
          <w:rFonts w:ascii="Nirmala UI" w:hAnsi="Nirmala UI" w:eastAsia="Nirmala UI" w:cs="Nirmala UI"/>
        </w:rPr>
        <w:t>মাত্ৰ</w:t>
      </w:r>
      <w:r>
        <w:rPr>
          <w:rFonts w:ascii="Times New Roman" w:hAnsi="Times New Roman" w:eastAsia="Times New Roman" w:cs="Times New Roman"/>
        </w:rPr>
        <w:t xml:space="preserve"> </w:t>
      </w:r>
      <w:r>
        <w:rPr>
          <w:rFonts w:ascii="Nirmala UI" w:hAnsi="Nirmala UI" w:eastAsia="Nirmala UI" w:cs="Nirmala UI"/>
        </w:rPr>
        <w:t>আছিল।</w:t>
      </w:r>
    </w:p>
    <w:p>
      <w:pPr>
        <w:pStyle w:val="ArticleBody"/>
        <w:jc w:val="left"/>
      </w:pPr>
      <w:r>
        <w:rPr>
          <w:rFonts w:ascii="Times New Roman" w:hAnsi="Times New Roman" w:eastAsia="Times New Roman" w:cs="Times New Roman"/>
        </w:rPr>
        <w:t>Mizere tumpi tizere taariih, miziŋŋi taariih n taŋccitaaji sii annaba tazwara almaxluqaat ar Assin n Tis snat. Ikkel miziŋŋi tumpi izwaren n tazwara d taggara ad qqnen srid s kraḍ n yisefra izwaren n Tira n Yuhanna ixef amezwaru. Kraḍ n yisefra-agi skanen belli Tira n Ɛisa Lmasiḥ, tin yettwaḥelllen qbl ma tselleq tanzagt, d askan n tezmert n uxluq n Rebbi. Anwa tezmert niḍen i yezmer ad tebnu agi n ccahada ittwasebgasen s waṭas n yimcehden, wid i d-yefkan ccahada-nsen seg wakud n Musa alamma d wakud n Yuhanna Anemlay?</w:t>
      </w:r>
    </w:p>
    <w:p>
      <w:pPr>
        <w:pStyle w:val="ArticleBody"/>
        <w:jc w:val="left"/>
      </w:pPr>
      <w:r>
        <w:rPr>
          <w:rFonts w:ascii="Times New Roman" w:hAnsi="Times New Roman" w:eastAsia="Times New Roman" w:cs="Times New Roman"/>
        </w:rPr>
        <w:t>Tlosa ditlhako tsa gago, gonne fano ke naga e e boitshepo.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Wahyu Yesus Kristus - Nomor Tiga</dc:title>
  <dc:subject>ముందుగా ప్రవచనాత్మక పునాదులను వెల్లడించడం: ప్రకటన గ్రంథము మరియు సత్యమార్గంపై ఒక అధ్యయనం</dc:subject>
  <dc:creator>Jeff Pippenger</dc:creator>
  <cp:keywords/>
  <dc:description>Generated by ArticleDigger from revelation\03_revelation.json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