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Penyingkapan Yesus Kristus - Nomor Lima</w:t>
      </w:r>
    </w:p>
    <w:p>
      <w:pPr>
        <w:pStyle w:val="ArticleSubtitle"/>
        <w:jc w:val="left"/>
      </w:pPr>
      <w:r>
        <w:rPr>
          <w:rFonts w:ascii="Arial" w:hAnsi="Arial" w:eastAsia="Arial" w:cs="Arial"/>
        </w:rPr>
        <w:t>Yeshaya Arba’in: Hiburken, Hiburken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2023-10-25</w:t>
      </w:r>
    </w:p>
    <w:p>
      <w:pPr>
        <w:pStyle w:val="ArticleBody"/>
        <w:jc w:val="left"/>
      </w:pPr>
      <w:r>
        <w:rPr>
          <w:rFonts w:ascii="Times New Roman" w:hAnsi="Times New Roman" w:eastAsia="Times New Roman" w:cs="Times New Roman"/>
        </w:rPr>
        <w:t>Dalam tujuh belas ayat pertama Yesaya empat puluh, seratus empat puluh empat ribu itu secara nubuat ditempatkan pada akhir tiga setengah hari, ketika mereka telah terbaring mati di jalan-jalan, sementara dunia bersukacita. Semua nabi saling sependapat, dan peristiwa-peristiwa nubuat yang mereka kemukakan senantiasa selaras dengan nabi-nabi yang lain, sebab Allah bukanlah sumber kekacauan.</w:t>
      </w:r>
    </w:p>
    <w:p>
      <w:pPr>
        <w:pStyle w:val="ArticleScripture"/>
        <w:jc w:val="left"/>
      </w:pPr>
      <w:r>
        <w:rPr>
          <w:rFonts w:ascii="Myanmar Text" w:hAnsi="Myanmar Text" w:eastAsia="Myanmar Text" w:cs="Myanmar Text"/>
        </w:rPr>
        <w:t>မိန့်တော်မူသော</w:t>
      </w:r>
      <w:r>
        <w:rPr>
          <w:rFonts w:ascii="Times New Roman" w:hAnsi="Times New Roman" w:eastAsia="Times New Roman" w:cs="Times New Roman"/>
        </w:rPr>
        <w:t xml:space="preserve"> </w:t>
      </w:r>
      <w:r>
        <w:rPr>
          <w:rFonts w:ascii="Myanmar Text" w:hAnsi="Myanmar Text" w:eastAsia="Myanmar Text" w:cs="Myanmar Text"/>
        </w:rPr>
        <w:t>ပရောဖက်တို့၏</w:t>
      </w:r>
      <w:r>
        <w:rPr>
          <w:rFonts w:ascii="Times New Roman" w:hAnsi="Times New Roman" w:eastAsia="Times New Roman" w:cs="Times New Roman"/>
        </w:rPr>
        <w:t xml:space="preserve"> </w:t>
      </w:r>
      <w:r>
        <w:rPr>
          <w:rFonts w:ascii="Myanmar Text" w:hAnsi="Myanmar Text" w:eastAsia="Myanmar Text" w:cs="Myanmar Text"/>
        </w:rPr>
        <w:t>ဝိညာဉ်တို့သည်လည်း</w:t>
      </w:r>
      <w:r>
        <w:rPr>
          <w:rFonts w:ascii="Times New Roman" w:hAnsi="Times New Roman" w:eastAsia="Times New Roman" w:cs="Times New Roman"/>
        </w:rPr>
        <w:t xml:space="preserve"> </w:t>
      </w:r>
      <w:r>
        <w:rPr>
          <w:rFonts w:ascii="Myanmar Text" w:hAnsi="Myanmar Text" w:eastAsia="Myanmar Text" w:cs="Myanmar Text"/>
        </w:rPr>
        <w:t>ပရောဖက်တို့၏</w:t>
      </w:r>
      <w:r>
        <w:rPr>
          <w:rFonts w:ascii="Times New Roman" w:hAnsi="Times New Roman" w:eastAsia="Times New Roman" w:cs="Times New Roman"/>
        </w:rPr>
        <w:t xml:space="preserve"> </w:t>
      </w:r>
      <w:r>
        <w:rPr>
          <w:rFonts w:ascii="Myanmar Text" w:hAnsi="Myanmar Text" w:eastAsia="Myanmar Text" w:cs="Myanmar Text"/>
        </w:rPr>
        <w:t>ထိန်းချုပ်မှုအောက်၌</w:t>
      </w:r>
      <w:r>
        <w:rPr>
          <w:rFonts w:ascii="Times New Roman" w:hAnsi="Times New Roman" w:eastAsia="Times New Roman" w:cs="Times New Roman"/>
        </w:rPr>
        <w:t xml:space="preserve"> </w:t>
      </w:r>
      <w:r>
        <w:rPr>
          <w:rFonts w:ascii="Myanmar Text" w:hAnsi="Myanmar Text" w:eastAsia="Myanmar Text" w:cs="Myanmar Text"/>
        </w:rPr>
        <w:t>ရှိကြ၏။</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ဘုရားသခင်သည်</w:t>
      </w:r>
      <w:r>
        <w:rPr>
          <w:rFonts w:ascii="Times New Roman" w:hAnsi="Times New Roman" w:eastAsia="Times New Roman" w:cs="Times New Roman"/>
        </w:rPr>
        <w:t xml:space="preserve"> </w:t>
      </w:r>
      <w:r>
        <w:rPr>
          <w:rFonts w:ascii="Myanmar Text" w:hAnsi="Myanmar Text" w:eastAsia="Myanmar Text" w:cs="Myanmar Text"/>
        </w:rPr>
        <w:t>မရှုပ်ထွေးခြင်း၏</w:t>
      </w:r>
      <w:r>
        <w:rPr>
          <w:rFonts w:ascii="Times New Roman" w:hAnsi="Times New Roman" w:eastAsia="Times New Roman" w:cs="Times New Roman"/>
        </w:rPr>
        <w:t xml:space="preserve"> </w:t>
      </w:r>
      <w:r>
        <w:rPr>
          <w:rFonts w:ascii="Myanmar Text" w:hAnsi="Myanmar Text" w:eastAsia="Myanmar Text" w:cs="Myanmar Text"/>
        </w:rPr>
        <w:t>အရှင်မဟုတ်၊</w:t>
      </w:r>
      <w:r>
        <w:rPr>
          <w:rFonts w:ascii="Times New Roman" w:hAnsi="Times New Roman" w:eastAsia="Times New Roman" w:cs="Times New Roman"/>
        </w:rPr>
        <w:t xml:space="preserve"> </w:t>
      </w:r>
      <w:r>
        <w:rPr>
          <w:rFonts w:ascii="Myanmar Text" w:hAnsi="Myanmar Text" w:eastAsia="Myanmar Text" w:cs="Myanmar Text"/>
        </w:rPr>
        <w:t>ငြိမ်သက်ခြင်း၏</w:t>
      </w:r>
      <w:r>
        <w:rPr>
          <w:rFonts w:ascii="Times New Roman" w:hAnsi="Times New Roman" w:eastAsia="Times New Roman" w:cs="Times New Roman"/>
        </w:rPr>
        <w:t xml:space="preserve"> </w:t>
      </w:r>
      <w:r>
        <w:rPr>
          <w:rFonts w:ascii="Myanmar Text" w:hAnsi="Myanmar Text" w:eastAsia="Myanmar Text" w:cs="Myanmar Text"/>
        </w:rPr>
        <w:t>အရှင်ဖြစ်တော်မူ၏၊</w:t>
      </w:r>
      <w:r>
        <w:rPr>
          <w:rFonts w:ascii="Times New Roman" w:hAnsi="Times New Roman" w:eastAsia="Times New Roman" w:cs="Times New Roman"/>
        </w:rPr>
        <w:t xml:space="preserve"> </w:t>
      </w:r>
      <w:r>
        <w:rPr>
          <w:rFonts w:ascii="Myanmar Text" w:hAnsi="Myanmar Text" w:eastAsia="Myanmar Text" w:cs="Myanmar Text"/>
        </w:rPr>
        <w:t>သန့်ရှင်းသူတို့၏</w:t>
      </w:r>
      <w:r>
        <w:rPr>
          <w:rFonts w:ascii="Times New Roman" w:hAnsi="Times New Roman" w:eastAsia="Times New Roman" w:cs="Times New Roman"/>
        </w:rPr>
        <w:t xml:space="preserve"> </w:t>
      </w:r>
      <w:r>
        <w:rPr>
          <w:rFonts w:ascii="Myanmar Text" w:hAnsi="Myanmar Text" w:eastAsia="Myanmar Text" w:cs="Myanmar Text"/>
        </w:rPr>
        <w:t>အသင်းတော်အပေါင်းတို့၌</w:t>
      </w:r>
      <w:r>
        <w:rPr>
          <w:rFonts w:ascii="Times New Roman" w:hAnsi="Times New Roman" w:eastAsia="Times New Roman" w:cs="Times New Roman"/>
        </w:rPr>
        <w:t xml:space="preserve"> </w:t>
      </w:r>
      <w:r>
        <w:rPr>
          <w:rFonts w:ascii="Myanmar Text" w:hAnsi="Myanmar Text" w:eastAsia="Myanmar Text" w:cs="Myanmar Text"/>
        </w:rPr>
        <w:t>ဖြစ်သကဲ့သို့တည်း။</w:t>
      </w:r>
      <w:r>
        <w:rPr>
          <w:rFonts w:ascii="Times New Roman" w:hAnsi="Times New Roman" w:eastAsia="Times New Roman" w:cs="Times New Roman"/>
        </w:rPr>
        <w:t xml:space="preserve"> </w:t>
      </w:r>
      <w:r>
        <w:rPr>
          <w:rFonts w:ascii="Myanmar Text" w:hAnsi="Myanmar Text" w:eastAsia="Myanmar Text" w:cs="Myanmar Text"/>
        </w:rPr>
        <w:t>၁</w:t>
      </w:r>
      <w:r>
        <w:rPr>
          <w:rFonts w:ascii="Times New Roman" w:hAnsi="Times New Roman" w:eastAsia="Times New Roman" w:cs="Times New Roman"/>
        </w:rPr>
        <w:t xml:space="preserve"> </w:t>
      </w:r>
      <w:r>
        <w:rPr>
          <w:rFonts w:ascii="Myanmar Text" w:hAnsi="Myanmar Text" w:eastAsia="Myanmar Text" w:cs="Myanmar Text"/>
        </w:rPr>
        <w:t>ကောရိန္သု</w:t>
      </w:r>
      <w:r>
        <w:rPr>
          <w:rFonts w:ascii="Times New Roman" w:hAnsi="Times New Roman" w:eastAsia="Times New Roman" w:cs="Times New Roman"/>
        </w:rPr>
        <w:t xml:space="preserve"> </w:t>
      </w:r>
      <w:r>
        <w:rPr>
          <w:rFonts w:ascii="Myanmar Text" w:hAnsi="Myanmar Text" w:eastAsia="Myanmar Text" w:cs="Myanmar Text"/>
        </w:rPr>
        <w:t>၁၄</w:t>
      </w:r>
      <w:r>
        <w:rPr>
          <w:rFonts w:ascii="Times New Roman" w:hAnsi="Times New Roman" w:eastAsia="Times New Roman" w:cs="Times New Roman"/>
        </w:rPr>
        <w:t>:</w:t>
      </w:r>
      <w:r>
        <w:rPr>
          <w:rFonts w:ascii="Myanmar Text" w:hAnsi="Myanmar Text" w:eastAsia="Myanmar Text" w:cs="Myanmar Text"/>
        </w:rPr>
        <w:t>၃၂၊</w:t>
      </w:r>
      <w:r>
        <w:rPr>
          <w:rFonts w:ascii="Times New Roman" w:hAnsi="Times New Roman" w:eastAsia="Times New Roman" w:cs="Times New Roman"/>
        </w:rPr>
        <w:t xml:space="preserve"> </w:t>
      </w:r>
      <w:r>
        <w:rPr>
          <w:rFonts w:ascii="Myanmar Text" w:hAnsi="Myanmar Text" w:eastAsia="Myanmar Text" w:cs="Myanmar Text"/>
        </w:rPr>
        <w:t>၃၃။</w:t>
      </w:r>
    </w:p>
    <w:p>
      <w:pPr>
        <w:pStyle w:val="ArticleBody"/>
        <w:jc w:val="left"/>
      </w:pPr>
      <w:r>
        <w:rPr>
          <w:rFonts w:ascii="Times New Roman" w:hAnsi="Times New Roman" w:eastAsia="Times New Roman" w:cs="Times New Roman"/>
        </w:rPr>
        <w:t>Penghibur, yang Yesus janjikan untuk diutus pada waktu ketidakhadiran-Nya, ditempatkan dalam kata-kata yang paling pertama, dari ayat yang paling pertama, dari dua puluh enam pasal yang membentuk narasi kenabian terakhir Yesaya. “Hiburkanlah, hiburkanlah umat-Ku, firman Allahmu.” Kaidah penyebutan pertama menegaskan bahwa dua puluh enam pasal berikutnya harus dipahami dalam kaitannya dengan penggenapan yang sempurna dan terakhir dari kedatangan Sang Penghibur.</w:t>
      </w:r>
    </w:p>
    <w:p>
      <w:pPr>
        <w:pStyle w:val="ArticleScripture"/>
        <w:jc w:val="left"/>
      </w:pPr>
      <w:r>
        <w:rPr>
          <w:rFonts w:ascii="Times New Roman" w:hAnsi="Times New Roman" w:eastAsia="Times New Roman" w:cs="Times New Roman"/>
        </w:rPr>
        <w:t>Aku akan memohon kepada Bapa, dan Ia akan memberikan kepadamu seorang Penghibur yang lain, supaya Ia menyertai kamu selama-lamanya.... Tetapi Penghibur itu, yaitu Roh Kudus, yang akan diutus oleh Bapa dalam nama-Ku, Dialah yang akan mengajarkan segala sesuatu kepadamu dan mengingatkan kamu akan semua yang telah Kukatakan kepadamu. Yohanes 14:16, 26.</w:t>
      </w:r>
    </w:p>
    <w:p>
      <w:pPr>
        <w:pStyle w:val="ArticleBody"/>
        <w:jc w:val="left"/>
      </w:pPr>
      <w:r>
        <w:rPr>
          <w:rFonts w:ascii="Times New Roman" w:hAnsi="Times New Roman" w:eastAsia="Times New Roman" w:cs="Times New Roman"/>
        </w:rPr>
        <w:t>Seruan Tengah Malam dalam sejarah Millerit diulangi dalam sejarah seratus empat puluh empat ribu.</w:t>
      </w:r>
    </w:p>
    <w:p>
      <w:pPr>
        <w:pStyle w:val="ArticleScripture"/>
        <w:jc w:val="left"/>
      </w:pPr>
      <w:r>
        <w:rPr>
          <w:rFonts w:ascii="Times New Roman" w:hAnsi="Times New Roman" w:eastAsia="Times New Roman" w:cs="Times New Roman"/>
        </w:rPr>
        <w:t>“Көньяксызлыҡта, алдаҡта һәм аҙашыуҙа, үлем күләгәһенең үҙендә ятҡан бер донъя бар,—йоҡола, йоҡола. Уларҙы уятыр өсөн йән ғазабын кисереүселәр кемдәр? Ҡайһы тауыш уларға барып етә ала? Минең уйым киләсәккә күсерелде, ул ваҡытта ишара биреләсәк. ‘Бына, Кейәү килә; Уны ҡаршы алырға сығығыҙ’. Әммә ҡайһы берәүҙәр үҙ шәмдәрен тулыландырыу өсөн май алырға кисектергән булырҙар, һәм улар май менән күрһәтелгән холоҡтоң башҡаларға тапшырылмай торған нәмә икәнен бик һуңлап ҡына аңларҙар.” Review and Herald, February 11, 1896.</w:t>
      </w:r>
    </w:p>
    <w:p>
      <w:pPr>
        <w:pStyle w:val="ArticleBody"/>
        <w:jc w:val="left"/>
      </w:pPr>
      <w:r>
        <w:rPr>
          <w:rFonts w:ascii="Times New Roman" w:hAnsi="Times New Roman" w:eastAsia="Times New Roman" w:cs="Times New Roman"/>
        </w:rPr>
        <w:t>“Apotso” bu ya botšišwa, “ke lentšu lefe leo le ka” “tsošago” bao ba lego “borokong”? “Lentšu” leo le ba tsošago go Jesaya kgaolo ya masomenne, ke “lentšu” leo le “goelelago” “lešokeng.”</w:t>
      </w:r>
    </w:p>
    <w:p>
      <w:pPr>
        <w:pStyle w:val="ArticleScripture"/>
        <w:jc w:val="left"/>
      </w:pPr>
      <w:r>
        <w:rPr>
          <w:rFonts w:ascii="Times New Roman" w:hAnsi="Times New Roman" w:eastAsia="Times New Roman" w:cs="Times New Roman"/>
        </w:rPr>
        <w:t>Berkatalah dengan lemah lembut kepada Yerusalem, dan berserulah kepadanya, bahwa masa peperangannya telah genap, bahwa kesalahannya telah diampuni; sebab ia telah menerima dari tangan Tuhan ganjaran dua kali lipat karena segala dosanya. “Suara” dia yang “berseru-seru” di padang gurun.... Yesaya 40:2, 3.</w:t>
      </w:r>
    </w:p>
    <w:p>
      <w:pPr>
        <w:pStyle w:val="ArticleBody"/>
        <w:jc w:val="left"/>
      </w:pPr>
      <w:r>
        <w:rPr>
          <w:rFonts w:ascii="Times New Roman" w:hAnsi="Times New Roman" w:eastAsia="Times New Roman" w:cs="Times New Roman"/>
        </w:rPr>
        <w:t>Mesajul Strigătului de la Miezul Nopții este, de asemenea, mesajul ploii târzii.</w:t>
      </w:r>
    </w:p>
    <w:p>
      <w:pPr>
        <w:pStyle w:val="ArticleScripture"/>
        <w:jc w:val="left"/>
      </w:pPr>
      <w:r>
        <w:rPr>
          <w:rFonts w:ascii="Times New Roman" w:hAnsi="Times New Roman" w:eastAsia="Times New Roman" w:cs="Times New Roman"/>
        </w:rPr>
        <w:t>“Kamu sedang menempatkan kedatangan Tuhan terlalu jauh. Aku melihat bahwa hujan akhir datang [se-tiba-tiba] seperti seruan tengah malam, dan dengan kuasa sepuluh kali lipat.” Spalding and Magan, 5.</w:t>
      </w:r>
    </w:p>
    <w:p>
      <w:pPr>
        <w:pStyle w:val="ArticleBody"/>
        <w:jc w:val="left"/>
      </w:pPr>
      <w:r>
        <w:rPr>
          <w:rFonts w:ascii="Times New Roman" w:hAnsi="Times New Roman" w:eastAsia="Times New Roman" w:cs="Times New Roman"/>
        </w:rPr>
        <w:t>In saam soad fan de symboalen dy’t yn it Wurd fan God fûn wurde en dy’t it boadskip fan de lette rein foarstelle, is der it symboal dat werkend wurdt troch in ferdûbeling fan wurden of útdrukkingen. De ferdûbeling fan wurden, of útdrukkingen, is in symboal fan de Middernachtlike Rop, of it boadskip fan de lette rein yn de lêste dagen. De symbolyk fan de ferdûbeling fan “treastje jim,” pleatst de iepening fan Jesaja haadstik fjirtich yn de ferwijltiden, as it boadskip dat foarsteld wurdt as de Middernachtlike Rop fan de gelikenis fan de tsien jongfammen werkend en dêrnei ferkundige wurde moat. Op dat stuit stjoert Kristus de Treaster om de sliepende jongfammen wekker te meitsjen, dy’t profetysk foarsteld wurde as sliepend, en yn guon profetyske passaazjes as sliepend de sliep fan de dea. It earste fers fan Jesaja fjirtich is profetysk pleatst trije en in heale symboalyske dagen ‘nei’ de teloarstelling fan 18 july 2020, want dat is wannear’t de Treaster stjoerd wurdt om dejingen wekker te meitsjen dy’t sliepe. Trije en in heale dagen is in symboal fan in woastyn, en dêr begjint de “stim” te “ropen.”</w:t>
      </w:r>
    </w:p>
    <w:p>
      <w:pPr>
        <w:pStyle w:val="ArticleBody"/>
        <w:jc w:val="left"/>
      </w:pPr>
      <w:r>
        <w:rPr>
          <w:rFonts w:ascii="Times New Roman" w:hAnsi="Times New Roman" w:eastAsia="Times New Roman" w:cs="Times New Roman"/>
        </w:rPr>
        <w:t>Kakgolo 11, Hesekiele 37, Mateo 25, histori ya Bamillerite (hammoho ni njia-alama zilezile za histori ya Bamillerite zinazotokea katika kila mwendo wa matengenezo), vinaungana kutambulisha “mchakato mahsusi” wa kuwaamsha mabikira waliolala. Mchakato huo huanza kwa mabikira kulala usingizi wakati wa kukatishwa tamaa. Kipindi cha wakati wa kukawia kilichoanza wakati wa kukatishwa tamaa hatimaye hutambuliwa kuwa ndicho wakati wa kukawia. Sehemu ya mwisho ya wakati wa kukawia ni kukomaa kwa ujumbe wa Kilio cha Usiku wa Manane. Ujumbe huo unapothibitishwa, ndipo hutangazwa hadi ufikie kilele chake, yaani hukumu.</w:t>
      </w:r>
    </w:p>
    <w:p>
      <w:pPr>
        <w:pStyle w:val="ArticleBody"/>
        <w:jc w:val="left"/>
      </w:pPr>
      <w:r>
        <w:rPr>
          <w:rFonts w:ascii="Times New Roman" w:hAnsi="Times New Roman" w:eastAsia="Times New Roman" w:cs="Times New Roman"/>
        </w:rPr>
        <w:t>Rasul yang digambarkan sebagai “suara” dalam Yesaya itu, bertanya apakah pekabaran yang harus dimaklumkan. Ia diberi tahu, dalam bahasa simbolis, untuk menyampaikan pekabaran Islam. Pekabaran nubuatan Islam tidak dapat dipisahkan dari undang-undang Ahad yang segera datang, sebab Islam adalah suatu kuasa sangkakala, dan ketujuh sangkakala dalam Wahyu melambangkan penghakiman Allah atas kuasa-kuasa yang menetapkan undang-undang Ahad. Kuasa-kuasa itu ialah Roma kafir pada tahun 321, suatu lambang naga; Roma kepausan pada tahun 538, suatu lambang binatang; dan undang-undang Ahad yang segera datang di Amerika Serikat, suatu lambang nabi palsu.</w:t>
      </w:r>
    </w:p>
    <w:p>
      <w:pPr>
        <w:pStyle w:val="ArticleBody"/>
        <w:jc w:val="left"/>
      </w:pPr>
      <w:r>
        <w:rPr>
          <w:rFonts w:ascii="Times New Roman" w:hAnsi="Times New Roman" w:eastAsia="Times New Roman" w:cs="Times New Roman"/>
        </w:rPr>
        <w:t>Sehubungan dengan pengenalpastian mesej yang harus diisytiharkan oleh “suara” yang telah berseru-seru di padang gurun itu, terdapat janji bahawa firman Allah tidak pernah gagal. “Janji dan jaminan” bahawa firman Allah tidak pernah gagal itu terletak dalam latar kenabian yang sama, yang dalam Habakkuk fasal dua, ayat tiga, diungkapkan demikian: “at the end it shall speak, and not lie: though it tarry, wait for it; because it will surely come, it will not tarry.” Mesej Islam tidak akan pernah gagal; ia pasti akan datang. Ayat terakhir Yesaya fasal empat puluh ditujukan kepada mereka yang menantikan penglihatan dalam Habakkuk.</w:t>
      </w:r>
    </w:p>
    <w:p>
      <w:pPr>
        <w:pStyle w:val="ArticleScripture"/>
        <w:jc w:val="left"/>
      </w:pPr>
      <w:r>
        <w:rPr>
          <w:rFonts w:ascii="Times New Roman" w:hAnsi="Times New Roman" w:eastAsia="Times New Roman" w:cs="Times New Roman"/>
        </w:rPr>
        <w:t>Tetapi mereka yang menanti-nantikan Tuhan akan memperoleh kekuatan yang baru; mereka akan naik dengan sayap seperti rajawali; mereka akan berlari dan tidak menjadi lesu; mereka akan berjalan dan tidak menjadi lelah. Yesaya 40:31.</w:t>
      </w:r>
    </w:p>
    <w:p>
      <w:pPr>
        <w:pStyle w:val="ArticleBody"/>
        <w:jc w:val="left"/>
      </w:pPr>
      <w:r>
        <w:rPr>
          <w:rFonts w:ascii="Times New Roman" w:hAnsi="Times New Roman" w:eastAsia="Times New Roman" w:cs="Times New Roman"/>
        </w:rPr>
        <w:t>“Sejarah tersembunyi” daripada tujuh guruh, yang kini sedang dibukakan meterainya, mengenal pasti tiga penanda jalan yang bermula dan berakhir dengan suatu kekecewaan. Dalam sejarah simbolik itu, terdapat tiga penanda jalan, yang dipisahkan oleh dua jangka masa. Suatu kekecewaan memulakan masa penangguhan. Masa penangguhan itu membawa kepada pekabaran yang diperbetulkan dan ramalan Seruan Tengah Malam. Pekabaran Seruan Tengah Malam memulakan suatu tempoh pemberitaan pekabaran Seruan Tengah Malam, yang membawa kepada suatu kekecewaan yang kedua, yang dilambangkan sebagai penghakiman. Ketiga-tiga langkah itu, yang dipisahkan oleh dua jangka masa, melambangkan Alfa dan Omega, sebagaimana diwujudkan dalam perkataan Ibrani “kebenaran.”</w:t>
      </w:r>
    </w:p>
    <w:p>
      <w:pPr>
        <w:pStyle w:val="ArticleBody"/>
        <w:jc w:val="left"/>
      </w:pPr>
      <w:r>
        <w:rPr>
          <w:rFonts w:ascii="Times New Roman" w:hAnsi="Times New Roman" w:eastAsia="Times New Roman" w:cs="Times New Roman"/>
        </w:rPr>
        <w:t>Dalam Yehezkiel tiga puluh tujuh, Yehezkiel juga melambangkan “suara” dalam Yesaya empat puluh. Suara dalam Yesaya empat puluh bertanya, “Apakah yang harus kuserukan?” Maka “suara” dalam Yehezkiel tiga puluh tujuh, ayat tujuh, kemudian “bernubuat seperti” yang “diperintahkan” kepadanya.</w:t>
      </w:r>
    </w:p>
    <w:p>
      <w:pPr>
        <w:pStyle w:val="ArticleScripture"/>
        <w:jc w:val="left"/>
      </w:pPr>
      <w:r>
        <w:rPr>
          <w:rFonts w:ascii="Times New Roman" w:hAnsi="Times New Roman" w:eastAsia="Times New Roman" w:cs="Times New Roman"/>
        </w:rPr>
        <w:t>Mokhono ke ne ke laetsoe; ’me ha ke ntse ke profeta, ha eba le lerata, ’me, bonang, ha eba le thothomelo, ’me masapo a kopana, lesapo ho lesapo la lona. ’Me ha ke talima, bonang, methapo le nama tsa hlaha holim’a ’ona, ’me letlalo la a koahela ka holimo; empa ho ne ho se na phefumoloho ho ’ona. Ezekiele 37:7, 8.</w:t>
      </w:r>
    </w:p>
    <w:p>
      <w:pPr>
        <w:pStyle w:val="ArticleBody"/>
        <w:jc w:val="left"/>
      </w:pPr>
      <w:r>
        <w:rPr>
          <w:rFonts w:ascii="Times New Roman" w:hAnsi="Times New Roman" w:eastAsia="Times New Roman" w:cs="Times New Roman"/>
        </w:rPr>
        <w:t>Profet pertama Yehezkiel menghimpunkan tulang dan daging, namun semuanya belum hidup. “Lalu,” Yehezkiel “bernubuat seperti yang” telah “diperintahkan” kepadanya untuk kali kedua. Profet kedua menghidupkan tubuh-tubuh itu. Kedua-dua profet itu ditamsilkan oleh penciptaan Adam.</w:t>
      </w:r>
    </w:p>
    <w:p>
      <w:pPr>
        <w:pStyle w:val="ArticleScripture"/>
        <w:jc w:val="left"/>
      </w:pPr>
      <w:r>
        <w:rPr>
          <w:rFonts w:ascii="Times New Roman" w:hAnsi="Times New Roman" w:eastAsia="Times New Roman" w:cs="Times New Roman"/>
        </w:rPr>
        <w:t>Tuhan Allah membentuk manusia dari debu tanah dan menghembuskan ke dalam lubang hidungnya nafas hidup; maka manusia itu menjadi makhluk yang hidup. Kejadian 2:7.</w:t>
      </w:r>
    </w:p>
    <w:p>
      <w:pPr>
        <w:pStyle w:val="ArticleBody"/>
        <w:jc w:val="left"/>
      </w:pPr>
      <w:r>
        <w:rPr>
          <w:rFonts w:ascii="Times New Roman" w:hAnsi="Times New Roman" w:eastAsia="Times New Roman" w:cs="Times New Roman"/>
        </w:rPr>
        <w:t>Proses dua langkah menghidupkan tulang-tulang kering yang mati itu pertama kali disebut dalam penciptaan Adam, dengan demikian menegaskan bahawa Firman nubuat Tuhan juga merupakan kuasa penciptaan-Nya. Mula-mula Tuhan “membentuk” Adam, dan nubuat pertama Yehezkiel menghimpunkan tulang-tulang dan tubuh-tubuh itu, kemudian Tuhan “menghembuskan ke dalam hidungnya nafas kehidupan; lalu manusia itu menjadi jiwa yang hidup.”</w:t>
      </w:r>
    </w:p>
    <w:p>
      <w:pPr>
        <w:pStyle w:val="ArticleBody"/>
        <w:jc w:val="left"/>
      </w:pPr>
      <w:r>
        <w:rPr>
          <w:rFonts w:ascii="Times New Roman" w:hAnsi="Times New Roman" w:eastAsia="Times New Roman" w:cs="Times New Roman"/>
        </w:rPr>
        <w:t>Nubuat kedua Ezekiel ditujukan “kepada angin,” bukan kepada tulang-tulang, sebab ia diperintahkan untuk “berkata kepada angin,” “Datanglah dari keempat penjuru angin, hai napas, dan berembuslah ke atas orang-orang yang terbunuh ini, supaya mereka hidup.” Nubuat kedua Ezekiel, yang menghidupkan tubuh-tubuh yang mati itu menjadi suatu bala tentara yang besar, ditujukan bukan kepada tubuh-tubuh yang mati itu, melainkan kepada angin. Itu adalah suatu perintah kepada angin agar berembus ke atas tubuh-tubuh itu. Pertama kali kata “napas” disebut dalam Firman Allah adalah pada penciptaan Adam, dan di sana kata itu didefinisikan sebagai napas kehidupan; dan apa yang memasukkan hidup ke dalam tubuh-tubuh yang mati itu berasal dari keempat penjuru angin.</w:t>
      </w:r>
    </w:p>
    <w:p>
      <w:pPr>
        <w:pStyle w:val="ArticleScripture"/>
        <w:jc w:val="left"/>
      </w:pPr>
      <w:r>
        <w:rPr>
          <w:rFonts w:ascii="Times New Roman" w:hAnsi="Times New Roman" w:eastAsia="Times New Roman" w:cs="Times New Roman"/>
        </w:rPr>
        <w:t>“Anjala ankhate mi hawa ya mune, ya kalangisami lokola mpunda ya kanda oyo ezali koluka kobuka bikelamu na yango mpe kopumbwa na lombangu likolo ya mokili mobimba, komemaka libebi mpe liwa na nzela na yango.</w:t>
      </w:r>
    </w:p>
    <w:p>
      <w:pPr>
        <w:pStyle w:val="ArticleScripture"/>
        <w:jc w:val="left"/>
      </w:pPr>
      <w:r>
        <w:rPr>
          <w:rFonts w:ascii="Times New Roman" w:hAnsi="Times New Roman" w:eastAsia="Times New Roman" w:cs="Times New Roman"/>
        </w:rPr>
        <w:t>“Иеңлик дунияниң дәл босуғисида биз ухлап ятайлиму? Биз ғәпил, совуқ вә җансиз болайлиму? Аһ, қеники, чиркавлиримиздә Худаниң Роһи вә нәпәси Өз хәлқигә үрлинип, улар путлирида өрә туруп яшиса еди!” Manuscript Releases, 20-том, 217.</w:t>
      </w:r>
    </w:p>
    <w:p>
      <w:pPr>
        <w:pStyle w:val="ArticleBody"/>
        <w:jc w:val="left"/>
      </w:pPr>
      <w:r>
        <w:rPr>
          <w:rFonts w:ascii="Times New Roman" w:hAnsi="Times New Roman" w:eastAsia="Times New Roman" w:cs="Times New Roman"/>
        </w:rPr>
        <w:t>Dipotsiso tše pedi mo ke gore, a re tla robala, le gore, a re tla bo re sule? …mafoko a mabedi a seemo se se tshwanang sa seporofeto. Molaetsa wa diphefo tse nne tse di thibelwang ke baengele, ke molaetsa o o dirang gore mohemo wa Modimo o tsene mo baswing, mme o ba dira gore ba eme ka dinao mme ba tshele. Molaetsa wa diphefo tse nne ke molaetsa wa pitse e e galefileng ya Boislamo. Molaetsa wa diphefo tse nne mo bukeng ya Tshenolo, ke molaetsa wa go tshwaiwa. Molaetsa wa go tshwaiwa wa Tshenolo 7:1–3, ke molaetsa o o supang gore diphefo tse nne di a thibelwa, go fitlha batlhanka ba Modimo ba tshwaiwa.</w:t>
      </w:r>
    </w:p>
    <w:p>
      <w:pPr>
        <w:pStyle w:val="ArticleScripture"/>
        <w:jc w:val="left"/>
      </w:pPr>
      <w:r>
        <w:rPr>
          <w:rFonts w:ascii="Times New Roman" w:hAnsi="Times New Roman" w:eastAsia="Times New Roman" w:cs="Times New Roman"/>
        </w:rPr>
        <w:t>Bageaniko bino nika yeone moono inoi, emereino nokong’u ang’wen egeketi ang’wen ega nsi, bakwete emiyaga ang’wen egeketi ang’wen ega nsi, ne emiyaga etakubba ku nsi, newankubadde ku nnyanja, newankubadde ku muti gwonna. Era ne ndaba malayika omulala ng’ayambuka okuva ebuvanjuba bw’enjuba, ng’alina akabonero ka Katonda omulamu: n’ayogerera waggulu n’eddoboozi ddene eri bamalayika abana, abo abaweebwa okwonoona ensi n’ennyanja, ng’agamba nti, Temwonoona nsi, newankubadde ennyanja, newankubadde emiti, okutuusa lwe tunaamala okussa akabonero ku byenyi by’abaweereza ba Katonda waffe. Okubikkulirwa 7:1–3.</w:t>
      </w:r>
    </w:p>
    <w:p>
      <w:pPr>
        <w:pStyle w:val="ArticleBody"/>
        <w:jc w:val="left"/>
      </w:pPr>
      <w:r>
        <w:rPr>
          <w:rFonts w:ascii="Times New Roman" w:hAnsi="Times New Roman" w:eastAsia="Times New Roman" w:cs="Times New Roman"/>
        </w:rPr>
        <w:t>Nubuatan kedua Yehezkiel ditujukan kepada angin, dan kehidupan yang dibawa oleh angin itu kepada tubuh-tubuh tersebut berasal dari pekabaran tentang keempat angin. Dalam ayat delapan sampai sepuluh, dalam Yehezkiel tiga puluh tujuh, kata-kata yang muncul baik sebagai “angin” maupun “nafas” adalah kata Ibrani yang sama dalam setiap kemunculannya. Allah menghembuskan kepada Adam nafas kehidupan, dan dalam Yehezkiel nafas kehidupan itu adalah pekabaran pemeteraian atas seratus empat puluh empat ribu yang datang dari keempat angin. Pekabaran itu menyampaikan kuasa penciptaan Allah kepada tubuh-tubuh yang telah dihimpunkan di lembah kematian oleh pekabaran yang pertama. Pekabaran tentang keempat angin adalah pekabaran tentang Islam yang mendatangkan penghukuman atas Amerika Serikat karena undang-undang hari Minggu. Itulah pekabaran Seruan Tengah Malam.</w:t>
      </w:r>
    </w:p>
    <w:p>
      <w:pPr>
        <w:pStyle w:val="ArticleBody"/>
        <w:jc w:val="left"/>
      </w:pPr>
      <w:r>
        <w:rPr>
          <w:rFonts w:ascii="Times New Roman" w:hAnsi="Times New Roman" w:eastAsia="Times New Roman" w:cs="Times New Roman"/>
        </w:rPr>
        <w:t>Nalane e patehileng ea medumo e supileng ea lialuma e qala ka ho soetseha, hoo e leng qalo ea nako ea tieho. Ho Tšenolo khaolo ea leshome le motso o mong, ha baprofeta ba babeli ba ne ba bolaoa ka la 18 Phupu, 2020, nako ea tieho e ile ea qala. Ezekiele o ne a le har’a bafu ha Morena a botsa Ezekiele hore na lipaki tse peli tse robetseng li shoele seterateng li ka phela.</w:t>
      </w:r>
    </w:p>
    <w:p>
      <w:pPr>
        <w:pStyle w:val="ArticleScripture"/>
        <w:jc w:val="left"/>
      </w:pPr>
      <w:r>
        <w:rPr>
          <w:rFonts w:ascii="Times New Roman" w:hAnsi="Times New Roman" w:eastAsia="Times New Roman" w:cs="Times New Roman"/>
        </w:rPr>
        <w:t>Tangan Tuhan ada atasku, lalu dibawa-Nya aku keluar dalam Roh Tuhan dan ditempatkan-Nya aku di tengah-tengah lembah yang penuh dengan tulang-tulang. Kemudian Ia menyuruh aku berjalan berkeliling di antaranya; dan sesungguhnya, amat banyak jumlahnya di lembah yang terbuka itu; dan lihatlah, semuanya amat kering. Lalu Ia berfirman kepadaku, “Hai anak manusia, dapatkah tulang-tulang ini hidup kembali?” Maka aku menjawab, “Ya Tuhan Allah, Engkaulah yang mengetahuinya.” Yehezkiel 37:1–3.</w:t>
      </w:r>
    </w:p>
    <w:p>
      <w:pPr>
        <w:pStyle w:val="ArticleBody"/>
        <w:jc w:val="left"/>
      </w:pPr>
      <w:r>
        <w:rPr>
          <w:rFonts w:ascii="Times New Roman" w:hAnsi="Times New Roman" w:eastAsia="Times New Roman" w:cs="Times New Roman"/>
        </w:rPr>
        <w:t>Kuvesi ye fambirhi, loko Hezekiele a nyikela vuprofeta byo sungula eka byimbirhi, rungula a ri ri ntsena, “N’wina marhambu lama omeke, twanani rito ra Yehovha.” Yohane, eka Nhlavutelo, u tsala a ku, “va katekile lava twaka marito ya vuprofeta bya buku leyi.” Hezekiele u yimela marhambu lama omeke, lama feke, lama katekisiweke, ku nga lava twaka xileriso xa Hezekiele xo twa Rito ra Yehovha, naswona Rito rakwe i Ntiyiso. Eka ndzima ya vumbirhi ya Hezekiele, ntokoto wa lava twaka rito ra Xikwembu wa hlamuseriwa.</w:t>
      </w:r>
    </w:p>
    <w:p>
      <w:pPr>
        <w:pStyle w:val="ArticleScripture"/>
        <w:jc w:val="left"/>
      </w:pPr>
      <w:r>
        <w:rPr>
          <w:rFonts w:ascii="Times New Roman" w:hAnsi="Times New Roman" w:eastAsia="Times New Roman" w:cs="Times New Roman"/>
        </w:rPr>
        <w:t>Lalu firman-Nya kepadaku, “Hai anak manusia, berdirilah tegak di atas kakimu, maka Aku akan berfirman kepadamu.” Dan Roh itu masuk ke dalam aku ketika Ia berfirman kepadaku, lalu menegakkan aku di atas kakiku, sehingga aku mendengar Dia yang berfirman kepadaku. Yehezkiel 2:1, 2.</w:t>
      </w:r>
    </w:p>
    <w:p>
      <w:pPr>
        <w:pStyle w:val="ArticleBody"/>
        <w:jc w:val="left"/>
      </w:pPr>
      <w:r>
        <w:rPr>
          <w:rFonts w:ascii="Times New Roman" w:hAnsi="Times New Roman" w:eastAsia="Times New Roman" w:cs="Times New Roman"/>
        </w:rPr>
        <w:t>Dalam Wahyu sebelas, apabila mayat-mayat itu mendengar Firman Tuhan, Penghibur masuk ke dalam mereka lalu mereka berdiri di atas kaki mereka. Penghiburlah yang menegakkan mereka di atas kaki mereka.</w:t>
      </w:r>
    </w:p>
    <w:p>
      <w:pPr>
        <w:pStyle w:val="ArticleScripture"/>
        <w:jc w:val="left"/>
      </w:pPr>
      <w:r>
        <w:rPr>
          <w:rFonts w:ascii="Nirmala UI" w:hAnsi="Nirmala UI" w:eastAsia="Nirmala UI" w:cs="Nirmala UI"/>
        </w:rPr>
        <w:t>වචනය</w:t>
      </w:r>
      <w:r>
        <w:rPr>
          <w:rFonts w:ascii="Times New Roman" w:hAnsi="Times New Roman" w:eastAsia="Times New Roman" w:cs="Times New Roman"/>
        </w:rPr>
        <w:t xml:space="preserve"> </w:t>
      </w:r>
      <w:r>
        <w:rPr>
          <w:rFonts w:ascii="Nirmala UI" w:hAnsi="Nirmala UI" w:eastAsia="Nirmala UI" w:cs="Nirmala UI"/>
        </w:rPr>
        <w:t>තුනක්</w:t>
      </w:r>
      <w:r>
        <w:rPr>
          <w:rFonts w:ascii="Times New Roman" w:hAnsi="Times New Roman" w:eastAsia="Times New Roman" w:cs="Times New Roman"/>
        </w:rPr>
        <w:t xml:space="preserve"> </w:t>
      </w:r>
      <w:r>
        <w:rPr>
          <w:rFonts w:ascii="Nirmala UI" w:hAnsi="Nirmala UI" w:eastAsia="Nirmala UI" w:cs="Nirmala UI"/>
        </w:rPr>
        <w:t>හා</w:t>
      </w:r>
      <w:r>
        <w:rPr>
          <w:rFonts w:ascii="Times New Roman" w:hAnsi="Times New Roman" w:eastAsia="Times New Roman" w:cs="Times New Roman"/>
        </w:rPr>
        <w:t xml:space="preserve"> </w:t>
      </w:r>
      <w:r>
        <w:rPr>
          <w:rFonts w:ascii="Nirmala UI" w:hAnsi="Nirmala UI" w:eastAsia="Nirmala UI" w:cs="Nirmala UI"/>
        </w:rPr>
        <w:t>අර්ධයක්</w:t>
      </w:r>
      <w:r>
        <w:rPr>
          <w:rFonts w:ascii="Times New Roman" w:hAnsi="Times New Roman" w:eastAsia="Times New Roman" w:cs="Times New Roman"/>
        </w:rPr>
        <w:t xml:space="preserve"> </w:t>
      </w:r>
      <w:r>
        <w:rPr>
          <w:rFonts w:ascii="Nirmala UI" w:hAnsi="Nirmala UI" w:eastAsia="Nirmala UI" w:cs="Nirmala UI"/>
        </w:rPr>
        <w:t>පසු</w:t>
      </w:r>
      <w:r>
        <w:rPr>
          <w:rFonts w:ascii="Times New Roman" w:hAnsi="Times New Roman" w:eastAsia="Times New Roman" w:cs="Times New Roman"/>
        </w:rPr>
        <w:t xml:space="preserve"> </w:t>
      </w:r>
      <w:r>
        <w:rPr>
          <w:rFonts w:ascii="Nirmala UI" w:hAnsi="Nirmala UI" w:eastAsia="Nirmala UI" w:cs="Nirmala UI"/>
        </w:rPr>
        <w:t>දෙවියන්වහන්සේගෙන්</w:t>
      </w:r>
      <w:r>
        <w:rPr>
          <w:rFonts w:ascii="Times New Roman" w:hAnsi="Times New Roman" w:eastAsia="Times New Roman" w:cs="Times New Roman"/>
        </w:rPr>
        <w:t xml:space="preserve"> </w:t>
      </w:r>
      <w:r>
        <w:rPr>
          <w:rFonts w:ascii="Nirmala UI" w:hAnsi="Nirmala UI" w:eastAsia="Nirmala UI" w:cs="Nirmala UI"/>
        </w:rPr>
        <w:t>පැමිණි</w:t>
      </w:r>
      <w:r>
        <w:rPr>
          <w:rFonts w:ascii="Times New Roman" w:hAnsi="Times New Roman" w:eastAsia="Times New Roman" w:cs="Times New Roman"/>
        </w:rPr>
        <w:t xml:space="preserve"> </w:t>
      </w:r>
      <w:r>
        <w:rPr>
          <w:rFonts w:ascii="Nirmala UI" w:hAnsi="Nirmala UI" w:eastAsia="Nirmala UI" w:cs="Nirmala UI"/>
        </w:rPr>
        <w:t>ජීවනයේ</w:t>
      </w:r>
      <w:r>
        <w:rPr>
          <w:rFonts w:ascii="Times New Roman" w:hAnsi="Times New Roman" w:eastAsia="Times New Roman" w:cs="Times New Roman"/>
        </w:rPr>
        <w:t xml:space="preserve"> </w:t>
      </w:r>
      <w:r>
        <w:rPr>
          <w:rFonts w:ascii="Nirmala UI" w:hAnsi="Nirmala UI" w:eastAsia="Nirmala UI" w:cs="Nirmala UI"/>
        </w:rPr>
        <w:t>ආත්මය</w:t>
      </w:r>
      <w:r>
        <w:rPr>
          <w:rFonts w:ascii="Times New Roman" w:hAnsi="Times New Roman" w:eastAsia="Times New Roman" w:cs="Times New Roman"/>
        </w:rPr>
        <w:t xml:space="preserve"> </w:t>
      </w:r>
      <w:r>
        <w:rPr>
          <w:rFonts w:ascii="Nirmala UI" w:hAnsi="Nirmala UI" w:eastAsia="Nirmala UI" w:cs="Nirmala UI"/>
        </w:rPr>
        <w:t>ඔවුන්</w:t>
      </w:r>
      <w:r>
        <w:rPr>
          <w:rFonts w:ascii="Times New Roman" w:hAnsi="Times New Roman" w:eastAsia="Times New Roman" w:cs="Times New Roman"/>
        </w:rPr>
        <w:t xml:space="preserve"> </w:t>
      </w:r>
      <w:r>
        <w:rPr>
          <w:rFonts w:ascii="Nirmala UI" w:hAnsi="Nirmala UI" w:eastAsia="Nirmala UI" w:cs="Nirmala UI"/>
        </w:rPr>
        <w:t>තුළට</w:t>
      </w:r>
      <w:r>
        <w:rPr>
          <w:rFonts w:ascii="Times New Roman" w:hAnsi="Times New Roman" w:eastAsia="Times New Roman" w:cs="Times New Roman"/>
        </w:rPr>
        <w:t xml:space="preserve"> </w:t>
      </w:r>
      <w:r>
        <w:rPr>
          <w:rFonts w:ascii="Nirmala UI" w:hAnsi="Nirmala UI" w:eastAsia="Nirmala UI" w:cs="Nirmala UI"/>
        </w:rPr>
        <w:t>ඇතුල්</w:t>
      </w:r>
      <w:r>
        <w:rPr>
          <w:rFonts w:ascii="Times New Roman" w:hAnsi="Times New Roman" w:eastAsia="Times New Roman" w:cs="Times New Roman"/>
        </w:rPr>
        <w:t xml:space="preserve"> </w:t>
      </w:r>
      <w:r>
        <w:rPr>
          <w:rFonts w:ascii="Nirmala UI" w:hAnsi="Nirmala UI" w:eastAsia="Nirmala UI" w:cs="Nirmala UI"/>
        </w:rPr>
        <w:t>විය</w:t>
      </w:r>
      <w:r>
        <w:rPr>
          <w:rFonts w:ascii="Times New Roman" w:hAnsi="Times New Roman" w:eastAsia="Times New Roman" w:cs="Times New Roman"/>
        </w:rPr>
        <w:t xml:space="preserve">; </w:t>
      </w:r>
      <w:r>
        <w:rPr>
          <w:rFonts w:ascii="Nirmala UI" w:hAnsi="Nirmala UI" w:eastAsia="Nirmala UI" w:cs="Nirmala UI"/>
        </w:rPr>
        <w:t>ඔවුන්</w:t>
      </w:r>
      <w:r>
        <w:rPr>
          <w:rFonts w:ascii="Times New Roman" w:hAnsi="Times New Roman" w:eastAsia="Times New Roman" w:cs="Times New Roman"/>
        </w:rPr>
        <w:t xml:space="preserve"> </w:t>
      </w:r>
      <w:r>
        <w:rPr>
          <w:rFonts w:ascii="Nirmala UI" w:hAnsi="Nirmala UI" w:eastAsia="Nirmala UI" w:cs="Nirmala UI"/>
        </w:rPr>
        <w:t>තම</w:t>
      </w:r>
      <w:r>
        <w:rPr>
          <w:rFonts w:ascii="Times New Roman" w:hAnsi="Times New Roman" w:eastAsia="Times New Roman" w:cs="Times New Roman"/>
        </w:rPr>
        <w:t xml:space="preserve"> </w:t>
      </w:r>
      <w:r>
        <w:rPr>
          <w:rFonts w:ascii="Nirmala UI" w:hAnsi="Nirmala UI" w:eastAsia="Nirmala UI" w:cs="Nirmala UI"/>
        </w:rPr>
        <w:t>පාද</w:t>
      </w:r>
      <w:r>
        <w:rPr>
          <w:rFonts w:ascii="Times New Roman" w:hAnsi="Times New Roman" w:eastAsia="Times New Roman" w:cs="Times New Roman"/>
        </w:rPr>
        <w:t xml:space="preserve"> </w:t>
      </w:r>
      <w:r>
        <w:rPr>
          <w:rFonts w:ascii="Nirmala UI" w:hAnsi="Nirmala UI" w:eastAsia="Nirmala UI" w:cs="Nirmala UI"/>
        </w:rPr>
        <w:t>මත</w:t>
      </w:r>
      <w:r>
        <w:rPr>
          <w:rFonts w:ascii="Times New Roman" w:hAnsi="Times New Roman" w:eastAsia="Times New Roman" w:cs="Times New Roman"/>
        </w:rPr>
        <w:t xml:space="preserve"> </w:t>
      </w:r>
      <w:r>
        <w:rPr>
          <w:rFonts w:ascii="Nirmala UI" w:hAnsi="Nirmala UI" w:eastAsia="Nirmala UI" w:cs="Nirmala UI"/>
        </w:rPr>
        <w:t>නැගී</w:t>
      </w:r>
      <w:r>
        <w:rPr>
          <w:rFonts w:ascii="Times New Roman" w:hAnsi="Times New Roman" w:eastAsia="Times New Roman" w:cs="Times New Roman"/>
        </w:rPr>
        <w:t xml:space="preserve"> </w:t>
      </w:r>
      <w:r>
        <w:rPr>
          <w:rFonts w:ascii="Nirmala UI" w:hAnsi="Nirmala UI" w:eastAsia="Nirmala UI" w:cs="Nirmala UI"/>
        </w:rPr>
        <w:t>සිටියහ</w:t>
      </w:r>
      <w:r>
        <w:rPr>
          <w:rFonts w:ascii="Times New Roman" w:hAnsi="Times New Roman" w:eastAsia="Times New Roman" w:cs="Times New Roman"/>
        </w:rPr>
        <w:t xml:space="preserve">; </w:t>
      </w:r>
      <w:r>
        <w:rPr>
          <w:rFonts w:ascii="Nirmala UI" w:hAnsi="Nirmala UI" w:eastAsia="Nirmala UI" w:cs="Nirmala UI"/>
        </w:rPr>
        <w:t>ඔවුන්</w:t>
      </w:r>
      <w:r>
        <w:rPr>
          <w:rFonts w:ascii="Times New Roman" w:hAnsi="Times New Roman" w:eastAsia="Times New Roman" w:cs="Times New Roman"/>
        </w:rPr>
        <w:t xml:space="preserve"> </w:t>
      </w:r>
      <w:r>
        <w:rPr>
          <w:rFonts w:ascii="Nirmala UI" w:hAnsi="Nirmala UI" w:eastAsia="Nirmala UI" w:cs="Nirmala UI"/>
        </w:rPr>
        <w:t>දැක</w:t>
      </w:r>
      <w:r>
        <w:rPr>
          <w:rFonts w:ascii="Times New Roman" w:hAnsi="Times New Roman" w:eastAsia="Times New Roman" w:cs="Times New Roman"/>
        </w:rPr>
        <w:t xml:space="preserve"> </w:t>
      </w:r>
      <w:r>
        <w:rPr>
          <w:rFonts w:ascii="Nirmala UI" w:hAnsi="Nirmala UI" w:eastAsia="Nirmala UI" w:cs="Nirmala UI"/>
        </w:rPr>
        <w:t>සිටි</w:t>
      </w:r>
      <w:r>
        <w:rPr>
          <w:rFonts w:ascii="Times New Roman" w:hAnsi="Times New Roman" w:eastAsia="Times New Roman" w:cs="Times New Roman"/>
        </w:rPr>
        <w:t xml:space="preserve"> </w:t>
      </w:r>
      <w:r>
        <w:rPr>
          <w:rFonts w:ascii="Nirmala UI" w:hAnsi="Nirmala UI" w:eastAsia="Nirmala UI" w:cs="Nirmala UI"/>
        </w:rPr>
        <w:t>අය</w:t>
      </w:r>
      <w:r>
        <w:rPr>
          <w:rFonts w:ascii="Times New Roman" w:hAnsi="Times New Roman" w:eastAsia="Times New Roman" w:cs="Times New Roman"/>
        </w:rPr>
        <w:t xml:space="preserve"> </w:t>
      </w:r>
      <w:r>
        <w:rPr>
          <w:rFonts w:ascii="Nirmala UI" w:hAnsi="Nirmala UI" w:eastAsia="Nirmala UI" w:cs="Nirmala UI"/>
        </w:rPr>
        <w:t>මත</w:t>
      </w:r>
      <w:r>
        <w:rPr>
          <w:rFonts w:ascii="Times New Roman" w:hAnsi="Times New Roman" w:eastAsia="Times New Roman" w:cs="Times New Roman"/>
        </w:rPr>
        <w:t xml:space="preserve"> </w:t>
      </w:r>
      <w:r>
        <w:rPr>
          <w:rFonts w:ascii="Nirmala UI" w:hAnsi="Nirmala UI" w:eastAsia="Nirmala UI" w:cs="Nirmala UI"/>
        </w:rPr>
        <w:t>මහත්</w:t>
      </w:r>
      <w:r>
        <w:rPr>
          <w:rFonts w:ascii="Times New Roman" w:hAnsi="Times New Roman" w:eastAsia="Times New Roman" w:cs="Times New Roman"/>
        </w:rPr>
        <w:t xml:space="preserve"> </w:t>
      </w:r>
      <w:r>
        <w:rPr>
          <w:rFonts w:ascii="Nirmala UI" w:hAnsi="Nirmala UI" w:eastAsia="Nirmala UI" w:cs="Nirmala UI"/>
        </w:rPr>
        <w:t>භීතියක්</w:t>
      </w:r>
      <w:r>
        <w:rPr>
          <w:rFonts w:ascii="Times New Roman" w:hAnsi="Times New Roman" w:eastAsia="Times New Roman" w:cs="Times New Roman"/>
        </w:rPr>
        <w:t xml:space="preserve"> </w:t>
      </w:r>
      <w:r>
        <w:rPr>
          <w:rFonts w:ascii="Nirmala UI" w:hAnsi="Nirmala UI" w:eastAsia="Nirmala UI" w:cs="Nirmala UI"/>
        </w:rPr>
        <w:t>වැටුණේය</w:t>
      </w:r>
      <w:r>
        <w:rPr>
          <w:rFonts w:ascii="Times New Roman" w:hAnsi="Times New Roman" w:eastAsia="Times New Roman" w:cs="Times New Roman"/>
        </w:rPr>
        <w:t xml:space="preserve">. </w:t>
      </w:r>
      <w:r>
        <w:rPr>
          <w:rFonts w:ascii="Nirmala UI" w:hAnsi="Nirmala UI" w:eastAsia="Nirmala UI" w:cs="Nirmala UI"/>
        </w:rPr>
        <w:t>එළිදරව්</w:t>
      </w:r>
      <w:r>
        <w:rPr>
          <w:rFonts w:ascii="Times New Roman" w:hAnsi="Times New Roman" w:eastAsia="Times New Roman" w:cs="Times New Roman"/>
        </w:rPr>
        <w:t xml:space="preserve"> 11:11.</w:t>
      </w:r>
    </w:p>
    <w:p>
      <w:pPr>
        <w:pStyle w:val="ArticleBody"/>
        <w:jc w:val="left"/>
      </w:pPr>
      <w:r>
        <w:rPr>
          <w:rFonts w:ascii="Times New Roman" w:hAnsi="Times New Roman" w:eastAsia="Times New Roman" w:cs="Times New Roman"/>
        </w:rPr>
        <w:t>Kebangkitan orang-orang mati adalah langkah pertama, dalam suatu proses dua langkah yang mengangkat mereka keluar dari kubur mereka untuk menjadi panji yang diangkat pada penghakiman hukum Minggu. Ketika mereka berdiri dalam pasal sebelas, “ketakutan besar” menimpa mereka yang melihat mereka.</w:t>
      </w:r>
    </w:p>
    <w:p>
      <w:pPr>
        <w:pStyle w:val="ArticleScripture"/>
        <w:jc w:val="left"/>
      </w:pPr>
      <w:r>
        <w:rPr>
          <w:rFonts w:ascii="Times New Roman" w:hAnsi="Times New Roman" w:eastAsia="Times New Roman" w:cs="Times New Roman"/>
        </w:rPr>
        <w:t>“Lui o tla tšabela qhobosheaneng ea hae ka baka la tšabo, ’me likhosana tsa hae li tla tšoha ka baka la folakha,” ho bolela Jehova, eo mollo oa hae o leng Sione, le sebōpi sa hae se leng Jerusalema. Esaia 31:9</w:t>
      </w:r>
    </w:p>
    <w:p>
      <w:pPr>
        <w:pStyle w:val="ArticleBody"/>
        <w:jc w:val="left"/>
      </w:pPr>
      <w:r>
        <w:rPr>
          <w:rFonts w:ascii="Times New Roman" w:hAnsi="Times New Roman" w:eastAsia="Times New Roman" w:cs="Times New Roman"/>
        </w:rPr>
        <w:t>Molaetsa oa Sello sa Har’a Bosiu historing ea ba-Millerite e ne e le karolo ea bobeli ea molaetsa oa lengeloi la bobeli. Molaetsa oa lengeloi la bobeli o ile oa hlahisa karohano pakeng tsa ba-Millerite le likereke tseo ka nako eo li ileng tsa tsejoa e le barali ba Babylona, ’me ba tšepahalang ba ile ba bitsetsoa ho tsoa ho tla ema le ba-Millerite. “’Mele” oa balumeli o ile oa boptjoa ke molaetsa oo, ’me hamorao mohato oa bobeli e ne e le molaetsa oa Sello sa Har’a Bosiu o ileng oa kopana le molaetsa oa bobeli ’me oa o eketsa matla. Ka hona ba-Millerite ba ile ba fetoha lebotho le matla le ileng la jara molaetsa oo joaloka leqhubu le leholo ho pholletsa le naha. Tsamaiso eo ea mehato e ’meli ke mantsoe a mabeli a Tšenolo 18, ’me ke eona tshebetso e tšoanang hantle le ea tsoho ea masapo a omeletseng a bafu ho Ezekiele ba ileng ba bolaoa seterateng sa Tšenolo 11.</w:t>
      </w:r>
    </w:p>
    <w:p>
      <w:pPr>
        <w:pStyle w:val="ArticleScripture"/>
        <w:jc w:val="left"/>
      </w:pPr>
      <w:r>
        <w:rPr>
          <w:rFonts w:ascii="Times New Roman" w:hAnsi="Times New Roman" w:eastAsia="Times New Roman" w:cs="Times New Roman"/>
        </w:rPr>
        <w:t>“Malaikat-malaikat diutus untuk menolong malaikat perkasa dari surga itu, dan aku mendengar suara-suara yang seakan-akan bergema di mana-mana, Keluarlah daripadanya, hai umat-Ku, supaya kamu jangan mengambil bagian dalam dosa-dosanya, dan supaya kamu jangan menerima tulah-tulahnya; karena dosa-dosanya telah sampai ke langit, dan Allah telah mengingat segala kefasikannya. Pekabaran ini tampaknya merupakan suatu tambahan kepada pekabaran ketiga, dan bergabung dengannya, sebagaimana seruan tengah malam bergabung dengan pekabaran malaikat kedua pada tahun 1844.” Spiritual Gifts, volume 1, 195, 196.</w:t>
      </w:r>
    </w:p>
    <w:p>
      <w:pPr>
        <w:pStyle w:val="ArticleBody"/>
        <w:jc w:val="left"/>
      </w:pPr>
      <w:r>
        <w:rPr>
          <w:rFonts w:ascii="Times New Roman" w:hAnsi="Times New Roman" w:eastAsia="Times New Roman" w:cs="Times New Roman"/>
        </w:rPr>
        <w:t>Tanda penunjuk yang pertama dalam sejarah tersembunyi tentang tujuh guruh ialah kekecewaan yang memulakan masa penantian. Masa penantian ialah suatu jangka waktu yang digambarkan sebagai tiga hari setengah, yang merupakan lambang padang gurun. Pada penghujung empat puluh tahun pengembaraan di padang gurun, Yosua memimpin suatu bala tentera yang gagah perkasa masuk ke Tanah Perjanjian. Pada penghujung tiga hari setengah itu, Yehezkiel dibawa ke lembah maut, dan diperintahkan untuk memerintahkan kepada mayat-mayat itu supaya “mendengar firman TUHAN.” Yehezkiel ialah suatu “suara” yang berseru-seru di padang gurun. Perintah untuk mendengar Firman TUHAN itu menyatukan bahagian-bahagian tubuh, tetapi mereka belum hidup, mereka belum menjadi suatu bala tentera, mereka belum dimeteraikan. “firman TUHAN” yang diucapkan oleh Yehezkiel dalam pasal dua mengenal pasti bahawa apabila Penghibur itu tiba, umat Tuhan berdiri, sementara pada masa yang sama mereka mendengar Firman TUHAN. Kristus telah berjanji bahawa Dia akan mengutus Penghibur itu, tiga hari setengah sesudah mereka dibunuh di jalan itu.</w:t>
      </w:r>
    </w:p>
    <w:p>
      <w:pPr>
        <w:pStyle w:val="ArticleBody"/>
        <w:jc w:val="left"/>
      </w:pPr>
      <w:r>
        <w:rPr>
          <w:rFonts w:ascii="Times New Roman" w:hAnsi="Times New Roman" w:eastAsia="Times New Roman" w:cs="Times New Roman"/>
        </w:rPr>
        <w:t>Sebaik sahaja berdiri, tubuh-tubuh itu, ‘yang belum hidup,’ akan diberikan suatu nubuat yang kedua. “Suara yang berseru-seru di padang gurun” dalam Yesaya, bertanya apakah nubuat yang harus diserukannya? “Pekabaran” yang diperintahkan kepada Yehezkiel dan “suara” dalam Yesaya empat puluh untuk disampaikan ialah pekabaran Islam. Apabila nubuat itu disampaikan, “Adam” hidup sebagai suatu bala tentera yang gagah perkasa. Kemudian dua saksi yang hidup itu memberitakan pekabaran tentang penghakiman Islam ke atas Amerika Syarikat, oleh sebab pelulusan undang-undang Ahad yang akan segera datang itu. Penghakiman undang-undang Ahad ialah penanda jalan yang ketiga dalam sejarah tersembunyi tujuh guruh. Apabila hal itu digenapi, bala tentera itu diangkat sebagai suatu panji sampai ke langit, dan digambarkan dalam Wahyu empat belas.</w:t>
      </w:r>
    </w:p>
    <w:p>
      <w:pPr>
        <w:pStyle w:val="ArticleScripture"/>
        <w:jc w:val="left"/>
      </w:pPr>
      <w:r>
        <w:rPr>
          <w:rFonts w:ascii="Times New Roman" w:hAnsi="Times New Roman" w:eastAsia="Times New Roman" w:cs="Times New Roman"/>
        </w:rPr>
        <w:t>“Ndzi ve ni ntokoto eka rungula ra yingelosi yo sungula, ya vumbirhi, ni ya vunharhu. Tiyengelosi ti yimeleriwe tanihi leti hahaka exikarhi ka tilo, ti twarisa emisaveni rungula ra xitsundzuxo, naswona ti khumba hi ku kongoma vanhu lava hanyaka emasikwini ya makumu ya matimu ya misava leyi. A nga kona loyi a twaka rito ra tiyengelosi leti, hikuva i xikombiso lexi yimelaka vanhu va Xikwembu lava tirhisaka hi ku twanana ni vuako hinkwabyo bya le tilweni. Vavanuna ni vavasati, lava voningeriweke hi Moya wa Xikwembu naswona va kwetsimisiweke hi ntiyiso, va twarisa marungula lawa manharhu hi landza ka wona.” Selected Messages, book 2, 387.</w:t>
      </w:r>
    </w:p>
    <w:p>
      <w:pPr>
        <w:pStyle w:val="ArticleBody"/>
        <w:jc w:val="left"/>
      </w:pPr>
      <w:r>
        <w:rPr>
          <w:rFonts w:ascii="Times New Roman" w:hAnsi="Times New Roman" w:eastAsia="Times New Roman" w:cs="Times New Roman"/>
        </w:rPr>
        <w:t>Kesin së aks ta lakat dingna chu vanlaifangah zuangin mihringte chu sakawlh hmelchhinna pawm lo tûra vaukhânna pe tû angel pathumna chu a ni. Rualtin an kal mêk sipai rual ropui chuan khâ thuchah chu khawvêlah a la puangzêl ang a, chu chu Michael a ding hunah leh mihringte tan khawngaihna hun a tawp hma loh zawngin a ni.</w:t>
      </w:r>
    </w:p>
    <w:p>
      <w:pPr>
        <w:pStyle w:val="ArticleBody"/>
        <w:jc w:val="left"/>
      </w:pPr>
      <w:r>
        <w:rPr>
          <w:rFonts w:ascii="Times New Roman" w:hAnsi="Times New Roman" w:eastAsia="Times New Roman" w:cs="Times New Roman"/>
        </w:rPr>
        <w:t>Kita akan meneruskan pemikiran ini dalam artikel yang berikutnya.</w:t>
      </w:r>
    </w:p>
    <w:p>
      <w:pPr>
        <w:pStyle w:val="ArticleScripture"/>
        <w:jc w:val="left"/>
      </w:pPr>
      <w:r>
        <w:rPr>
          <w:rFonts w:ascii="Times New Roman" w:hAnsi="Times New Roman" w:eastAsia="Times New Roman" w:cs="Times New Roman"/>
        </w:rPr>
        <w:t>Dan pada tengah malam terdengarlah suatu seruan, Lihatlah, mempelai laki-laki datang; keluarlah menyongsong dia. Matius 25:6.</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Penyingkapan Yesus Kristus - Nomor Lima</dc:title>
  <dc:subject>Yeshaya Arba’in: Hiburken, Hiburken</dc:subject>
  <dc:creator>Jeff Pippenger</dc:creator>
  <cp:keywords/>
  <dc:description>Generated by ArticleDigger from revelation\05_revelation.json</dc:description>
  <cp:lastModifiedBy>ArticleDigger</cp:lastModifiedBy>
  <cp:revision>1</cp:revision>
  <dcterms:created xsi:type="dcterms:W3CDTF">2000-01-01T00:00:00Z</dcterms:created>
  <dcterms:modified xsi:type="dcterms:W3CDTF">2000-01-01T00:00:00Z</dcterms:modified>
  <cp:category>revelation</cp:category>
  <cp:lastPrinted>2000-01-01T00:00:00Z</cp:lastPrinted>
</cp:coreProperties>
</file>