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Mo Kugurhalar ga Jesu Kreste - Nomoro Ya Lesometlhano</w:t>
      </w:r>
    </w:p>
    <w:p>
      <w:pPr>
        <w:pStyle w:val="ArticleSubtitle"/>
        <w:jc w:val="left"/>
      </w:pPr>
      <w:r>
        <w:rPr>
          <w:rFonts w:ascii="Arial" w:hAnsi="Arial" w:eastAsia="Arial" w:cs="Arial"/>
        </w:rPr>
        <w:t>Meterai Ketujuh dan Pembukaan Kebenaran Nubuatan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2023-11-13</w:t>
      </w:r>
    </w:p>
    <w:p>
      <w:pPr>
        <w:pStyle w:val="ArticleScripture"/>
        <w:jc w:val="left"/>
      </w:pPr>
      <w:r>
        <w:rPr>
          <w:rFonts w:ascii="Times New Roman" w:hAnsi="Times New Roman" w:eastAsia="Times New Roman" w:cs="Times New Roman"/>
        </w:rPr>
        <w:t>Dan apabila Ia membuka meterai yang ketujuh, maka sunyilah di sorga kira-kira setengah jam lamanya. Lalu aku melihat ketujuh malaikat yang berdiri di hadapan Allah, dan kepada mereka diberikan tujuh sangkakala. Maka datanglah seorang malaikat lain, lalu berdiri di dekat mezbah dengan sebuah pedupaan emas; kepadanya diberikan banyak kemenyan, supaya ia mempersembahkannya bersama-sama dengan doa semua orang kudus di atas mezbah emas yang ada di hadapan takhta itu. Maka asap kemenyan itu, bersama-sama dengan doa orang-orang kudus, naik ke hadapan Allah dari tangan malaikat itu. Lalu malaikat itu mengambil pedupaan itu, mengisinya dengan api dari mezbah, dan melemparkannya ke atas bumi. Maka terjadilah bunyi-bunyian, guruh, kilat, dan gempa bumi. Wahyu 8:1–5.</w:t>
      </w:r>
    </w:p>
    <w:p>
      <w:pPr>
        <w:pStyle w:val="ArticleBody"/>
        <w:jc w:val="left"/>
      </w:pPr>
      <w:r>
        <w:rPr>
          <w:rFonts w:ascii="Times New Roman" w:hAnsi="Times New Roman" w:eastAsia="Times New Roman" w:cs="Times New Roman"/>
        </w:rPr>
        <w:t>Ta đương đề cập đến sự tuôn đổ của lửa thánh từ đền thánh trên trời, trong giai đoạn lịch sử mà Hoa Kỳ sẽ khiến lửa ô uế giáng xuống từ tầng trời thứ nhất. Sự khải thị về điều bảy tiếng sấm đã phán trong Khải Huyền chương mười đã được truyền phải niêm phong cho đến ngay trước khi thời kỳ ân điển chấm dứt. Thời kỳ ân điển cũng được trình bày như đang ở bên bờ chấm dứt khi ấn thứ bảy được mở ra.</w:t>
      </w:r>
    </w:p>
    <w:p>
      <w:pPr>
        <w:pStyle w:val="ArticleScripture"/>
        <w:jc w:val="left"/>
      </w:pPr>
      <w:r>
        <w:rPr>
          <w:rFonts w:ascii="Times New Roman" w:hAnsi="Times New Roman" w:eastAsia="Times New Roman" w:cs="Times New Roman"/>
        </w:rPr>
        <w:t>Lalu ia berkata kepadaku, “Janganlah memeteraikan perkataan-perkataan nubuat kitab ini, sebab waktunya sudah dekat. Barangsiapa yang tidak adil, biarlah ia tetap tidak adil; dan barangsiapa yang cemar, biarlah ia tetap cemar; dan barangsiapa yang benar, biarlah ia tetap berbuat benar; dan barangsiapa yang kudus, biarlah ia tetap kudus.” Wahyu 22:10, 11.</w:t>
      </w:r>
    </w:p>
    <w:p>
      <w:pPr>
        <w:pStyle w:val="ArticleBody"/>
        <w:jc w:val="left"/>
      </w:pPr>
      <w:r>
        <w:rPr>
          <w:rFonts w:ascii="Times New Roman" w:hAnsi="Times New Roman" w:eastAsia="Times New Roman" w:cs="Times New Roman"/>
        </w:rPr>
        <w:t>Go bulwa ga tiiso ya bosupa go direga ge barongwa ba bašupa ba ikemišetša go letša.</w:t>
      </w:r>
    </w:p>
    <w:p>
      <w:pPr>
        <w:pStyle w:val="ArticleScripture"/>
        <w:jc w:val="left"/>
      </w:pPr>
      <w:r>
        <w:rPr>
          <w:rFonts w:ascii="Times New Roman" w:hAnsi="Times New Roman" w:eastAsia="Times New Roman" w:cs="Times New Roman"/>
        </w:rPr>
        <w:t>La menala e supa a e na ni tavila e fitu sa vakarautaki ira me ra uvia. Vakatakila 8:6.</w:t>
      </w:r>
    </w:p>
    <w:p>
      <w:pPr>
        <w:pStyle w:val="ArticleBody"/>
        <w:jc w:val="left"/>
      </w:pPr>
      <w:r>
        <w:rPr>
          <w:rFonts w:ascii="Times New Roman" w:hAnsi="Times New Roman" w:eastAsia="Times New Roman" w:cs="Times New Roman"/>
        </w:rPr>
        <w:t>Bila masa percobaan berakhir, “tidak seorang pun” “dapat masuk ke dalam Bait Suci,” karena pengantaraan Kristus bagi dosa-dosa manusia telah berakhir. Masa percobaan telah ditutup, dan ketujuh malaikat diperintahkan untuk mencurahkan cawan-cawan murka Allah.</w:t>
      </w:r>
    </w:p>
    <w:p>
      <w:pPr>
        <w:pStyle w:val="ArticleScripture"/>
        <w:jc w:val="left"/>
      </w:pPr>
      <w:r>
        <w:rPr>
          <w:rFonts w:ascii="Times New Roman" w:hAnsi="Times New Roman" w:eastAsia="Times New Roman" w:cs="Times New Roman"/>
        </w:rPr>
        <w:t>Үүнчлэн Бурханы алдар суу болон Түүний хүчнээс болж сүм утаагаар дүүрч, долоон тэнгэрэлчийн долоон гай бүрэн биелтэл хэн ч сүмд орж чадсангүй. Тэгээд би сүмээс гарах агуу дууг сонсов. Тэр нь долоон тэнгэрэлчид хандан: Зам замаа явж, Бурханы уур хилэнгийн аягануудыг газар дэлхий дээр асгагтун, хэмээн хэлэв. Илчлэлт 15:8, 16:1.</w:t>
      </w:r>
    </w:p>
    <w:p>
      <w:pPr>
        <w:pStyle w:val="ArticleBody"/>
        <w:jc w:val="left"/>
      </w:pPr>
      <w:r>
        <w:rPr>
          <w:rFonts w:ascii="Times New Roman" w:hAnsi="Times New Roman" w:eastAsia="Times New Roman" w:cs="Times New Roman"/>
        </w:rPr>
        <w:t>A dìke kɛ dɛn ye sariyasébɛnkɛla wolonwula kɔnɔ kabila kɔnɔgɔ wolonwula bɔ Kalanfɛn 9 ma faa 11 la, olu ka yɛrɛ ta kɛla fara ka bɔ sariyasébɛnkɛla wolonwula la minnu b’i ye Ala ka dimi jiginɛn wolonwula kɔnɔsigi. A ma kɛ o ye, ka taa fɛ, sariyakɛcogo fɛnw minnu bɛ jira o yɛrɛ la minnu bɛ taamasiyɛn kɛ ka kɛnɛya wolonwula bɔ kabila kɔnɔgɔ wolonwula ye, olu bɛ se ka kɛ jɛgɛsigi ni Ala ka dimi ka fɛnnafolo wolonwula ka sigiyɔrɔ ani o ka baara ye Kalanfɛn 16 la. Ka sɔrɔ jɔnjɔnna taari dɔ fana ye, kabila kɔnɔgɔ ka kɛnɛyajuguw bɛ wele jɔnjɔnna la ko dimiw ye.</w:t>
      </w:r>
    </w:p>
    <w:p>
      <w:pPr>
        <w:pStyle w:val="ArticleScripture"/>
        <w:jc w:val="left"/>
      </w:pPr>
      <w:r>
        <w:rPr>
          <w:rFonts w:ascii="Times New Roman" w:hAnsi="Times New Roman" w:eastAsia="Times New Roman" w:cs="Times New Roman"/>
        </w:rPr>
        <w:t>Dan orang-orang lain yang tidak dibunuh oleh malapetaka-malapetaka ini, tetap tidak bertobat dari perbuatan tangan mereka, sehingga mereka tidak berhenti menyembah roh-roh jahat, serta berhala-berhala dari emas, perak, tembaga, batu, dan kayu, yang tidak dapat melihat, ataupun mendengar, ataupun berjalan. Wahyu 9:20.</w:t>
      </w:r>
    </w:p>
    <w:p>
      <w:pPr>
        <w:pStyle w:val="ArticleBody"/>
        <w:jc w:val="left"/>
      </w:pPr>
      <w:r>
        <w:rPr>
          <w:rFonts w:ascii="Times New Roman" w:hAnsi="Times New Roman" w:eastAsia="Times New Roman" w:cs="Times New Roman"/>
        </w:rPr>
        <w:t>Go bulwa ga seswaiwa sa bosupa go beilwe ka boomo mo seemong sa go atamela ga go tswalwa ga paka ya tsheko. Seswaiwa sa bosupa se emela mosupi wa bobedi wa se maru a supa a “se buileng,” se Johane le Paulo le ene ba neng ba thibetswe go se kwala.</w:t>
      </w:r>
    </w:p>
    <w:p>
      <w:pPr>
        <w:pStyle w:val="ArticleScripture"/>
        <w:jc w:val="left"/>
      </w:pPr>
      <w:r>
        <w:rPr>
          <w:rFonts w:ascii="Times New Roman" w:hAnsi="Times New Roman" w:eastAsia="Times New Roman" w:cs="Times New Roman"/>
        </w:rPr>
        <w:t>Напъни денкепелиген үн илэ, аслан күрлүгедиге охшап хайкырды; ве хайкырганы заманда, еди гөк гүрүлтиси өз сеслерини чыгардылар. Ве еди гөк гүрүлтиси өз сеслерини чыгаргандан сора, язмага хазыр идим; ве гөктен бир сес ишиттим, мана дейип: «Еди гөк гүрүлтиси айткан шейлерни мүрле, ве оларны язма». Аян 10:3, 4.</w:t>
      </w:r>
    </w:p>
    <w:p>
      <w:pPr>
        <w:pStyle w:val="ArticleBody"/>
        <w:jc w:val="left"/>
      </w:pPr>
      <w:r>
        <w:rPr>
          <w:rFonts w:ascii="Times New Roman" w:hAnsi="Times New Roman" w:eastAsia="Times New Roman" w:cs="Times New Roman"/>
        </w:rPr>
        <w:t>Apa yang “diucapkan” oleh ketujuh guruh itu dimeteraikan, dan dalam pasal dua puluh dua, nubuatan yang telah dimeteraikan di dalam kitab Wahyu itu harus dibuka meterainya, dan sebagaimana dengan meterai yang ketujuh, itu harus dibuka meterainya tepat sebelum masa kasihan berakhir.</w:t>
      </w:r>
    </w:p>
    <w:p>
      <w:pPr>
        <w:pStyle w:val="ArticleBody"/>
        <w:jc w:val="left"/>
      </w:pPr>
      <w:r>
        <w:rPr>
          <w:rFonts w:ascii="Times New Roman" w:hAnsi="Times New Roman" w:eastAsia="Times New Roman" w:cs="Times New Roman"/>
        </w:rPr>
        <w:t>Сестра Вайт указывает, что запечатание того, что «изрекли» семь громов, представляло собой то же действие Льва от колена Иудина, как и тогда, когда Он повелел Даниилу запечатать свою книгу до времени конца. Книги Даниила и Откровения — это одна и та же книга, и в Откровении Иисус представлен как Лев от колена Иудина, когда Он снимает печати с книги, запечатанной семью печатями; следовательно, именно Лев от колена Иудина также повелел Даниилу запечатать свою книгу до времени конца. Лев от колена Иудина есть Тот, Кто запечатывает и снимает печати со Своего Слова, ибо Он и есть Слово.</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ថើយបន្ទាប់ពីផ្គរលាន់ទាំងប្រាំពីរនេះបានបន្លឺសំឡេងរបស់វា</w:t>
      </w:r>
      <w:r>
        <w:rPr>
          <w:rFonts w:ascii="Times New Roman" w:hAnsi="Times New Roman" w:eastAsia="Times New Roman" w:cs="Times New Roman"/>
        </w:rPr>
        <w:t xml:space="preserve"> </w:t>
      </w:r>
      <w:r>
        <w:rPr>
          <w:rFonts w:ascii="Leelawadee UI" w:hAnsi="Leelawadee UI" w:eastAsia="Leelawadee UI" w:cs="Leelawadee UI"/>
        </w:rPr>
        <w:t>ការបង្គាប់ក៏មកដល់យ៉ូហាន</w:t>
      </w:r>
      <w:r>
        <w:rPr>
          <w:rFonts w:ascii="Times New Roman" w:hAnsi="Times New Roman" w:eastAsia="Times New Roman" w:cs="Times New Roman"/>
        </w:rPr>
        <w:t xml:space="preserve"> </w:t>
      </w:r>
      <w:r>
        <w:rPr>
          <w:rFonts w:ascii="Leelawadee UI" w:hAnsi="Leelawadee UI" w:eastAsia="Leelawadee UI" w:cs="Leelawadee UI"/>
        </w:rPr>
        <w:t>ដូចដែលបានមកដល់ដានីយ៉ែល</w:t>
      </w:r>
      <w:r>
        <w:rPr>
          <w:rFonts w:ascii="Times New Roman" w:hAnsi="Times New Roman" w:eastAsia="Times New Roman" w:cs="Times New Roman"/>
        </w:rPr>
        <w:t xml:space="preserve"> </w:t>
      </w:r>
      <w:r>
        <w:rPr>
          <w:rFonts w:ascii="Leelawadee UI" w:hAnsi="Leelawadee UI" w:eastAsia="Leelawadee UI" w:cs="Leelawadee UI"/>
        </w:rPr>
        <w:t>ទាក់ទងនឹងសៀវភៅតូចនោះថា៖</w:t>
      </w:r>
      <w:r>
        <w:rPr>
          <w:rFonts w:ascii="Times New Roman" w:hAnsi="Times New Roman" w:eastAsia="Times New Roman" w:cs="Times New Roman"/>
        </w:rPr>
        <w:t xml:space="preserve"> ‘</w:t>
      </w:r>
      <w:r>
        <w:rPr>
          <w:rFonts w:ascii="Leelawadee UI" w:hAnsi="Leelawadee UI" w:eastAsia="Leelawadee UI" w:cs="Leelawadee UI"/>
        </w:rPr>
        <w:t>ចូរបិទត្រារឿងទាំងនោះដែលផ្គរលាន់ទាំងប្រាំពីរបានបន្លឺចេញមក។</w:t>
      </w:r>
      <w:r>
        <w:rPr>
          <w:rFonts w:ascii="Times New Roman" w:hAnsi="Times New Roman" w:eastAsia="Times New Roman" w:cs="Times New Roman"/>
        </w:rPr>
        <w:t>’” The Seventh-day Adventist Bible Commentary, volume 7, 971.</w:t>
      </w:r>
    </w:p>
    <w:p>
      <w:pPr>
        <w:pStyle w:val="ArticleBody"/>
        <w:jc w:val="left"/>
      </w:pPr>
      <w:r>
        <w:rPr>
          <w:rFonts w:ascii="Times New Roman" w:hAnsi="Times New Roman" w:eastAsia="Times New Roman" w:cs="Times New Roman"/>
        </w:rPr>
        <w:t>Даниел болон Илчлэл номууд дахь дотоод нотолгоо нь долоо дахь лацыг нээх явдал нь долоон аянгын айлдсан зүйлийг тайлан нээхийн хоёр дахь гэрч мөн болохыг илтгэнэ. Даниелын номыг тайлан нээх явдал ч, долоон лацаар лацлагдсан номыг тайлан нээх явдал ч, эш үзүүллэгийн мэдээ тайлагдан нээгдэхэд илчлэгддэг үнэнүүд нь мөн чанартаа аажмаар урагшлан илэрдэг болохыг тодорхойлдог. Ийм учраас Даниелын ном үүнийг мэдлэгийн өсөлт хэмээн тодорхойлдог бол, Илчлэлийн ном үүнийг нэг лацыг нөгөөгийнх нь дараа авч хаяж буйгаар дүрслэн үзүүлдэг.</w:t>
      </w:r>
    </w:p>
    <w:p>
      <w:pPr>
        <w:pStyle w:val="ArticleBody"/>
        <w:jc w:val="left"/>
      </w:pPr>
      <w:r>
        <w:rPr>
          <w:rFonts w:ascii="Times New Roman" w:hAnsi="Times New Roman" w:eastAsia="Times New Roman" w:cs="Times New Roman"/>
        </w:rPr>
        <w:t>Ke lesedi le le phatsimang ka go oketšega go fihlela letšatši le le phethagetšego.</w:t>
      </w:r>
    </w:p>
    <w:p>
      <w:pPr>
        <w:pStyle w:val="ArticleScripture"/>
        <w:jc w:val="left"/>
      </w:pPr>
      <w:r>
        <w:rPr>
          <w:rFonts w:ascii="Times New Roman" w:hAnsi="Times New Roman" w:eastAsia="Times New Roman" w:cs="Times New Roman"/>
        </w:rPr>
        <w:t>A mekwan no deɛtenenefoɔ fa so no te sɛ hann a ɛhyerɛn, a ɛkɔ so hyerɛn kɛse kɔsi awia ketewa mu. Mmebusɛm 4:18.</w:t>
      </w:r>
    </w:p>
    <w:p>
      <w:pPr>
        <w:pStyle w:val="ArticleBody"/>
        <w:jc w:val="left"/>
      </w:pPr>
      <w:r>
        <w:rPr>
          <w:rFonts w:ascii="Times New Roman" w:hAnsi="Times New Roman" w:eastAsia="Times New Roman" w:cs="Times New Roman"/>
        </w:rPr>
        <w:t>Apabila “kebenaran” dimeterai buka, ia bersifat progresif.</w:t>
      </w:r>
    </w:p>
    <w:p>
      <w:pPr>
        <w:pStyle w:val="ArticleScripture"/>
        <w:jc w:val="left"/>
      </w:pPr>
      <w:r>
        <w:rPr>
          <w:rFonts w:ascii="Times New Roman" w:hAnsi="Times New Roman" w:eastAsia="Times New Roman" w:cs="Times New Roman"/>
        </w:rPr>
        <w:t>“Хэрэв Бурханы эртний ард түмэн Түүний өөрсөдтэй нь өршөөл ба шүүлтэд, зөвлөгөө ба зэмлэлд хэрхэн харьцсаныг олонтаа санан дурсах нь шаардлагатай байсан бол, мөн адил бид ч Түүний Үгэнд бидэнд өгөгдсөн үнэнүүдийг тунгаан бодох нь чухал юм,—тэдгээр үнэнийг анхааран дагавал, тэдгээр нь биднийг даруу байдал, захирагдал, Бурханд дуулгавартай байдал руу хөтлөнө. Бид үнэнээр ариусгагдах ёстой. Бурханы Үг үе үеийн бүхэнд зориулсан онцгой үнэнүүдийг толилуулдаг. Өнгөрсөнд Бурхан Өөрийн ард түмэнтэй хэрхэн харьцсаныг бид анхааралтай авч үзэх ёстой. Бид тэдгээрээс заахаар зориулагдсан сургамжуудыг суралцах учиртай. Гэвч бид тэдгээрээр сэтгэл ханан зогсож болохгүй. Бурхан Өөрийн ард түмнийг алхам алхмаар удирдан гаргаж байна. Үнэн нь урагшлан хөгждөг. Чин сэтгэлтэй эрэлхийлэгч хүн тэнгэрээс ирэх гэрлийг байнга хүлээн авах болно. Үнэн гэж юу вэ? гэдэг нь бидний байнгын асуулт байх ёстой.” Signs of the Times, May 26, 1881.</w:t>
      </w:r>
    </w:p>
    <w:p>
      <w:pPr>
        <w:pStyle w:val="ArticleBody"/>
        <w:jc w:val="left"/>
      </w:pPr>
      <w:r>
        <w:rPr>
          <w:rFonts w:ascii="Myanmar Text" w:hAnsi="Myanmar Text" w:eastAsia="Myanmar Text" w:cs="Myanmar Text"/>
        </w:rPr>
        <w:t>ပပောဖက်နှစ်</w:t>
      </w:r>
      <w:r>
        <w:rPr>
          <w:rFonts w:ascii="Times New Roman" w:hAnsi="Times New Roman" w:eastAsia="Times New Roman" w:cs="Times New Roman"/>
        </w:rPr>
        <w:t xml:space="preserve"> </w:t>
      </w:r>
      <w:r>
        <w:rPr>
          <w:rFonts w:ascii="Myanmar Text" w:hAnsi="Myanmar Text" w:eastAsia="Myanmar Text" w:cs="Myanmar Text"/>
        </w:rPr>
        <w:t>၂၀၂၃</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ဇူလိုင်လအဆုံးတွင်၊</w:t>
      </w:r>
      <w:r>
        <w:rPr>
          <w:rFonts w:ascii="Times New Roman" w:hAnsi="Times New Roman" w:eastAsia="Times New Roman" w:cs="Times New Roman"/>
        </w:rPr>
        <w:t xml:space="preserve"> </w:t>
      </w:r>
      <w:r>
        <w:rPr>
          <w:rFonts w:ascii="Myanmar Text" w:hAnsi="Myanmar Text" w:eastAsia="Myanmar Text" w:cs="Myanmar Text"/>
        </w:rPr>
        <w:t>ယေရှုခရစ်၏</w:t>
      </w:r>
      <w:r>
        <w:rPr>
          <w:rFonts w:ascii="Times New Roman" w:hAnsi="Times New Roman" w:eastAsia="Times New Roman" w:cs="Times New Roman"/>
        </w:rPr>
        <w:t xml:space="preserve"> </w:t>
      </w:r>
      <w:r>
        <w:rPr>
          <w:rFonts w:ascii="Myanmar Text" w:hAnsi="Myanmar Text" w:eastAsia="Myanmar Text" w:cs="Myanmar Text"/>
        </w:rPr>
        <w:t>ဗျာဒိတ်တော်သည်</w:t>
      </w:r>
      <w:r>
        <w:rPr>
          <w:rFonts w:ascii="Times New Roman" w:hAnsi="Times New Roman" w:eastAsia="Times New Roman" w:cs="Times New Roman"/>
        </w:rPr>
        <w:t xml:space="preserve"> </w:t>
      </w:r>
      <w:r>
        <w:rPr>
          <w:rFonts w:ascii="Myanmar Text" w:hAnsi="Myanmar Text" w:eastAsia="Myanmar Text" w:cs="Myanmar Text"/>
        </w:rPr>
        <w:t>စတင်ဖွင့်လှစ်ခံရလေပြီ။</w:t>
      </w:r>
    </w:p>
    <w:p>
      <w:pPr>
        <w:pStyle w:val="ArticleBody"/>
        <w:jc w:val="left"/>
      </w:pPr>
      <w:r>
        <w:rPr>
          <w:rFonts w:ascii="Times New Roman" w:hAnsi="Times New Roman" w:eastAsia="Times New Roman" w:cs="Times New Roman"/>
        </w:rPr>
        <w:t>Sama seperti meterai ketujuh dan juga ucapan-ucapan ketujuh guruh, Wahyu Yesus Kristus dibuka meterainya tepat sebelum masa percobaan berakhir. Wahyu itu memberikan saksi ketiga bagi berita yang sama yang dilambangkan oleh pembukaan meterai ketujuh dan ketujuh guruh. Ketiga-tiga gambaran dalam kitab Wahyu itu merupakan tiga saksi yang bergabung membentuk berita Wahyu Yesus Kristus. Pembukaan meterai bagi ketiga-tiga saksi ini berlaku secara berperingkat. Kesan-kesannya juga bersifat berperingkat.</w:t>
      </w:r>
    </w:p>
    <w:p>
      <w:pPr>
        <w:pStyle w:val="ArticleScripture"/>
        <w:jc w:val="left"/>
      </w:pPr>
      <w:r>
        <w:rPr>
          <w:rFonts w:ascii="Times New Roman" w:hAnsi="Times New Roman" w:eastAsia="Times New Roman" w:cs="Times New Roman"/>
        </w:rPr>
        <w:t>“Ketaatan kepada hukum Allah adalah pengudusan. Banyak orang memiliki gagasan yang keliru mengenai pekerjaan ini di dalam jiwa, tetapi Yesus berdoa agar murid-murid-Nya dikuduskan melalui kebenaran, dan menambahkan, ‘Firman-Mu adalah kebenaran’ (Yohanes 17:17). Pengudusan bukanlah suatu pekerjaan yang seketika, melainkan suatu pekerjaan yang progresif, sebagaimana ketaatan itu berlangsung terus-menerus. Selama Iblis terus mendesakkan pencobaannya kepada kita, peperangan untuk menaklukkan diri harus diperjuangkan berulang-ulang; tetapi melalui ketaatan, kebenaran akan menguduskan jiwa. Mereka yang setia kepada kebenaran akan, melalui jasa-jasa Kristus, mengalahkan segala kelemahan tabiat yang telah menyebabkan mereka dibentuk oleh setiap keadaan hidup yang berubah-ubah.” Faith and Works, 85.</w:t>
      </w:r>
    </w:p>
    <w:p>
      <w:pPr>
        <w:pStyle w:val="ArticleBody"/>
        <w:jc w:val="left"/>
      </w:pPr>
      <w:r>
        <w:rPr>
          <w:rFonts w:ascii="Times New Roman" w:hAnsi="Times New Roman" w:eastAsia="Times New Roman" w:cs="Times New Roman"/>
        </w:rPr>
        <w:t>Pengembangan progresif pemahaman tentang Wahyu Yesus Kristus mula diterbitkan pada akhir Julai 2023. Proses memahami kebenaran-kebenaran yang mula diterbitkan pada waktu itu telah bermula tidak lama selepas 18 Julai 2020.</w:t>
      </w:r>
    </w:p>
    <w:p>
      <w:pPr>
        <w:pStyle w:val="ArticleBody"/>
        <w:jc w:val="left"/>
      </w:pPr>
      <w:r>
        <w:rPr>
          <w:rFonts w:ascii="Times New Roman" w:hAnsi="Times New Roman" w:eastAsia="Times New Roman" w:cs="Times New Roman"/>
        </w:rPr>
        <w:t>Kebenaran yang dikenal pasti dalam mesej pembukaan meterai ketujuh sedang membicarakan tanda jalan Seruan Tengah Malam. Seruan Tengah Malam dalam sejarah Millerit ialah suatu perkembangan kebenaran yang bertahap-tahap, dan hakikat itu dapat dibuktikan melalui tinjauan sejarah terhadap pekerjaan Samuel Snow. Yesus menggambarkan pergerakan malaikat ketiga dengan pergerakan malaikat pertama, kerana Dia sentiasa menggambarkan kesudahan dengan permulaan.</w:t>
      </w:r>
    </w:p>
    <w:p>
      <w:pPr>
        <w:pStyle w:val="ArticleBody"/>
        <w:jc w:val="left"/>
      </w:pPr>
      <w:r>
        <w:rPr>
          <w:rFonts w:ascii="Times New Roman" w:hAnsi="Times New Roman" w:eastAsia="Times New Roman" w:cs="Times New Roman"/>
        </w:rPr>
        <w:t>Nsɛm a ɛbom yɛ Ɔdasukɔm Frɛ no nkrasɛm no yɛ ntease a ɛfa onipa ko a Onyankopɔn yɛ ho, ne sɛnea ne suban da no adi wɔ N’asɛm mu. Saa nokware no mu ka abakɔsɛm kwan a ɛyɛ nkyerɛkyerɛmu a emu da hɔ yiye fa wɔn a awiei koraa wɔbɛpae mu aka Ɔdasukɔm Frɛ no nkrasɛm no ho. Nsɛm a ahintaw a ɛfa aprannaa ason no ho na ɛkyerɛ saa abakɔsɛm kwan no. Nsɔano a ɛto so ason no yɛ saa abakɔsɛm kwan a wɔakyerɛkyerɛ mu yiye no fã, nanso ne yiyi adi no gyina bere no so a efi ase bere a wɔawie Ɔdasukɔm Frɛ no nkrasɛm no, na ɛno na ɛhyɛ da ma wohu bere a wɔawie ɔha aduanan anan no nsɔanohyɛ no. Nsɔano a ɛto so ason no yi fi hɔ nkakrankakra no fi ase bere a wɔde Ɔdasukɔm Frɛ no nkrasɛm no asi pi na wɔama ne nkyerɛase no awie pɛyɛ, sɛnea Exeter nsrabanhyiam no wɔ afe 1844 awɔw bere mu no yɛ mfatoho no. Saa atikye yi gyina hɔ ma wo ankasa nsa frɛ a wɔde frɛ wo sɛ bra Exeter nsrabanhyiam no ase.</w:t>
      </w:r>
    </w:p>
    <w:p>
      <w:pPr>
        <w:pStyle w:val="ArticleBody"/>
        <w:jc w:val="left"/>
      </w:pPr>
      <w:r>
        <w:rPr>
          <w:rFonts w:ascii="Times New Roman" w:hAnsi="Times New Roman" w:eastAsia="Times New Roman" w:cs="Times New Roman"/>
        </w:rPr>
        <w:t>Apabila meterai yang ketujuh dibuka, api dari mezbah dicampakkan ke bumi, lalu terjadilah “suara-suara, dan guruh-guruh, dan kilat-kilat, dan suatu gempa bumi.” “Suara” melambangkan sebuah sangkakala.</w:t>
      </w:r>
    </w:p>
    <w:p>
      <w:pPr>
        <w:pStyle w:val="ArticleScripture"/>
        <w:jc w:val="left"/>
      </w:pPr>
      <w:r>
        <w:rPr>
          <w:rFonts w:ascii="Times New Roman" w:hAnsi="Times New Roman" w:eastAsia="Times New Roman" w:cs="Times New Roman"/>
        </w:rPr>
        <w:t>Berteriaklah dengan nyaring, jangan tahan-tahan, nyaringkanlah suaramu seperti sangkakala, dan nyatakanlah kepada umat-Ku pelanggaran mereka, dan kepada kaum Yakub dosa-dosa mereka. Yesaya 58:1.</w:t>
      </w:r>
    </w:p>
    <w:p>
      <w:pPr>
        <w:pStyle w:val="ArticleBody"/>
        <w:jc w:val="left"/>
      </w:pPr>
      <w:r>
        <w:rPr>
          <w:rFonts w:ascii="Times New Roman" w:hAnsi="Times New Roman" w:eastAsia="Times New Roman" w:cs="Times New Roman"/>
        </w:rPr>
        <w:t>Suara sangkakala menandai suatu pekabaran yang memperingatkan tentang penghakiman yang segera datang. Ketika Yesaya memerintahkan umat Allah untuk mengangkat suara mereka seperti sangkakala, mereka harus “berseru” dengan nyaring. Pekabaran Seruan Tengah Malam dibukakan tepat sebelum saat gempa bumi dari undang-undang hari Minggu. Pekabaran Seruan Tengah Malam yang dibukakan tepat sebelum undang-undang hari Minggu yang segera datang itu adalah pekabaran yang membesar menjadi suatu seruan nyaring. Ketika Yesaya berkata, “Berserulah dengan nyaring,” ia sedang merujuk kepada suatu gabungan dengan seruan nyaring dari malaikat ketiga, yang merupakan suara kedua yang bergabung dengan pekabaran Seruan Tengah Malam. Pekabaran Seruan Tengah Malam yang nyaring adalah suatu amaran tentang sangkakala ketujuh, yaitu celaka yang ketiga. Umat Allah harus memahami bahwa ketika pekabaran sangkakala itu ditiupkan, mereka berada pada saat-saat terakhir dari masa pencobaan mereka. Oleh sebab itu, perintah Yesaya adalah suatu amaran untuk bersiap bagi penutupan masa pencobaan, suatu amaran bahwa penghakiman sangkakala dari celaka ketiga Islam itu akan segera menimpa Amerika Serikat karena menolak Sabat Allah. Pada undang-undang hari Minggu, Seruan Tengah Malam, yang merupakan yang pertama dari dua “suara” dalam Wahyu pasal delapan belas, membesar menjadi suatu seruan nyaring, sementara anak-anak Allah yang lain yang masih berada di Babel dipanggil keluar.</w:t>
      </w:r>
    </w:p>
    <w:p>
      <w:pPr>
        <w:pStyle w:val="ArticleScripture"/>
        <w:jc w:val="left"/>
      </w:pPr>
      <w:r>
        <w:rPr>
          <w:rFonts w:ascii="Times New Roman" w:hAnsi="Times New Roman" w:eastAsia="Times New Roman" w:cs="Times New Roman"/>
        </w:rPr>
        <w:t>“Boammaaruri ba siman tanaaf, ergaa maleekaa sadaffaa, sagalee guddaadhaan labsamuu qaba, jechuunis akkuma qormaata guddaa isa dhumaa sanatti dhihaannu humna dabalaa deemuudhaan.” The 1888 Materials, 710.</w:t>
      </w:r>
    </w:p>
    <w:p>
      <w:pPr>
        <w:pStyle w:val="ArticleBody"/>
        <w:jc w:val="left"/>
      </w:pPr>
      <w:r>
        <w:rPr>
          <w:rFonts w:ascii="Times New Roman" w:hAnsi="Times New Roman" w:eastAsia="Times New Roman" w:cs="Times New Roman"/>
        </w:rPr>
        <w:t>“</w:t>
      </w:r>
      <w:r>
        <w:rPr>
          <w:rFonts w:ascii="Nirmala UI" w:hAnsi="Nirmala UI" w:eastAsia="Nirmala UI" w:cs="Nirmala UI"/>
        </w:rPr>
        <w:t>ꯑꯕꯨꯡ</w:t>
      </w:r>
      <w:r>
        <w:rPr>
          <w:rFonts w:ascii="Times New Roman" w:hAnsi="Times New Roman" w:eastAsia="Times New Roman" w:cs="Times New Roman"/>
        </w:rPr>
        <w:t xml:space="preserve"> </w:t>
      </w:r>
      <w:r>
        <w:rPr>
          <w:rFonts w:ascii="Nirmala UI" w:hAnsi="Nirmala UI" w:eastAsia="Nirmala UI" w:cs="Nirmala UI"/>
        </w:rPr>
        <w:t>ꯍꯣꯠꯅ</w:t>
      </w:r>
      <w:r>
        <w:rPr>
          <w:rFonts w:ascii="Times New Roman" w:hAnsi="Times New Roman" w:eastAsia="Times New Roman" w:cs="Times New Roman"/>
        </w:rPr>
        <w:t xml:space="preserve"> </w:t>
      </w:r>
      <w:r>
        <w:rPr>
          <w:rFonts w:ascii="Nirmala UI" w:hAnsi="Nirmala UI" w:eastAsia="Nirmala UI" w:cs="Nirmala UI"/>
        </w:rPr>
        <w:t>ꯑꯣꯏꯔꯤꯕ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ꯑꯍꯨꯝꯁꯨꯕ</w:t>
      </w:r>
      <w:r>
        <w:rPr>
          <w:rFonts w:ascii="Times New Roman" w:hAnsi="Times New Roman" w:eastAsia="Times New Roman" w:cs="Times New Roman"/>
        </w:rPr>
        <w:t xml:space="preserve"> </w:t>
      </w:r>
      <w:r>
        <w:rPr>
          <w:rFonts w:ascii="Nirmala UI" w:hAnsi="Nirmala UI" w:eastAsia="Nirmala UI" w:cs="Nirmala UI"/>
        </w:rPr>
        <w:t>ꯁꯤꯗꯥꯡ</w:t>
      </w:r>
      <w:r>
        <w:rPr>
          <w:rFonts w:ascii="Times New Roman" w:hAnsi="Times New Roman" w:eastAsia="Times New Roman" w:cs="Times New Roman"/>
        </w:rPr>
        <w:t xml:space="preserve"> </w:t>
      </w:r>
      <w:r>
        <w:rPr>
          <w:rFonts w:ascii="Nirmala UI" w:hAnsi="Nirmala UI" w:eastAsia="Nirmala UI" w:cs="Nirmala UI"/>
        </w:rPr>
        <w:t>ꯃꯤꯁꯦꯡꯗꯒꯤ</w:t>
      </w:r>
      <w:r>
        <w:rPr>
          <w:rFonts w:ascii="Times New Roman" w:hAnsi="Times New Roman" w:eastAsia="Times New Roman" w:cs="Times New Roman"/>
        </w:rPr>
        <w:t xml:space="preserve"> “</w:t>
      </w:r>
      <w:r>
        <w:rPr>
          <w:rFonts w:ascii="Nirmala UI" w:hAnsi="Nirmala UI" w:eastAsia="Nirmala UI" w:cs="Nirmala UI"/>
        </w:rPr>
        <w:t>ꯑꯋꯥꯡꯕ</w:t>
      </w:r>
      <w:r>
        <w:rPr>
          <w:rFonts w:ascii="Times New Roman" w:hAnsi="Times New Roman" w:eastAsia="Times New Roman" w:cs="Times New Roman"/>
        </w:rPr>
        <w:t xml:space="preserve"> </w:t>
      </w:r>
      <w:r>
        <w:rPr>
          <w:rFonts w:ascii="Nirmala UI" w:hAnsi="Nirmala UI" w:eastAsia="Nirmala UI" w:cs="Nirmala UI"/>
        </w:rPr>
        <w:t>ꯈꯣꯡꯖꯦꯜ</w:t>
      </w:r>
      <w:r>
        <w:rPr>
          <w:rFonts w:ascii="Times New Roman" w:hAnsi="Times New Roman" w:eastAsia="Times New Roman" w:cs="Times New Roman"/>
        </w:rPr>
        <w:t>”</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ꯃꯐꯝꯁꯤ</w:t>
      </w:r>
      <w:r>
        <w:rPr>
          <w:rFonts w:ascii="Times New Roman" w:hAnsi="Times New Roman" w:eastAsia="Times New Roman" w:cs="Times New Roman"/>
        </w:rPr>
        <w:t xml:space="preserve">, </w:t>
      </w:r>
      <w:r>
        <w:rPr>
          <w:rFonts w:ascii="Nirmala UI" w:hAnsi="Nirmala UI" w:eastAsia="Nirmala UI" w:cs="Nirmala UI"/>
        </w:rPr>
        <w:t>ꯖꯤꯍꯣꯕꯥ</w:t>
      </w:r>
      <w:r>
        <w:rPr>
          <w:rFonts w:ascii="Times New Roman" w:hAnsi="Times New Roman" w:eastAsia="Times New Roman" w:cs="Times New Roman"/>
        </w:rPr>
        <w:t xml:space="preserve"> </w:t>
      </w:r>
      <w:r>
        <w:rPr>
          <w:rFonts w:ascii="Nirmala UI" w:hAnsi="Nirmala UI" w:eastAsia="Nirmala UI" w:cs="Nirmala UI"/>
        </w:rPr>
        <w:t>ꯃꯈꯣꯏ</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ꯐꯥꯕꯥ</w:t>
      </w:r>
      <w:r>
        <w:rPr>
          <w:rFonts w:ascii="Times New Roman" w:hAnsi="Times New Roman" w:eastAsia="Times New Roman" w:cs="Times New Roman"/>
        </w:rPr>
        <w:t xml:space="preserve"> </w:t>
      </w:r>
      <w:r>
        <w:rPr>
          <w:rFonts w:ascii="Nirmala UI" w:hAnsi="Nirmala UI" w:eastAsia="Nirmala UI" w:cs="Nirmala UI"/>
        </w:rPr>
        <w:t>ꯍꯧꯖꯤꯛ</w:t>
      </w:r>
      <w:r>
        <w:rPr>
          <w:rFonts w:ascii="Times New Roman" w:hAnsi="Times New Roman" w:eastAsia="Times New Roman" w:cs="Times New Roman"/>
        </w:rPr>
        <w:t xml:space="preserve"> </w:t>
      </w:r>
      <w:r>
        <w:rPr>
          <w:rFonts w:ascii="Nirmala UI" w:hAnsi="Nirmala UI" w:eastAsia="Nirmala UI" w:cs="Nirmala UI"/>
        </w:rPr>
        <w:t>ꯔꯥꯁꯤ</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ꯇꯔꯥꯅꯤ</w:t>
      </w:r>
      <w:r>
        <w:rPr>
          <w:rFonts w:ascii="Times New Roman" w:hAnsi="Times New Roman" w:eastAsia="Times New Roman" w:cs="Times New Roman"/>
        </w:rPr>
        <w:t xml:space="preserve"> </w:t>
      </w:r>
      <w:r>
        <w:rPr>
          <w:rFonts w:ascii="Nirmala UI" w:hAnsi="Nirmala UI" w:eastAsia="Nirmala UI" w:cs="Nirmala UI"/>
        </w:rPr>
        <w:t>ꯌꯥꯝꯅꯥ</w:t>
      </w:r>
      <w:r>
        <w:rPr>
          <w:rFonts w:ascii="Times New Roman" w:hAnsi="Times New Roman" w:eastAsia="Times New Roman" w:cs="Times New Roman"/>
        </w:rPr>
        <w:t xml:space="preserve"> </w:t>
      </w:r>
      <w:r>
        <w:rPr>
          <w:rFonts w:ascii="Nirmala UI" w:hAnsi="Nirmala UI" w:eastAsia="Nirmala UI" w:cs="Nirmala UI"/>
        </w:rPr>
        <w:t>ꯄꯣꯈꯤꯕ</w:t>
      </w:r>
      <w:r>
        <w:rPr>
          <w:rFonts w:ascii="Times New Roman" w:hAnsi="Times New Roman" w:eastAsia="Times New Roman" w:cs="Times New Roman"/>
        </w:rPr>
        <w:t xml:space="preserve"> </w:t>
      </w:r>
      <w:r>
        <w:rPr>
          <w:rFonts w:ascii="Nirmala UI" w:hAnsi="Nirmala UI" w:eastAsia="Nirmala UI" w:cs="Nirmala UI"/>
        </w:rPr>
        <w:t>ꯁꯤꯅꯩꯗꯥ</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ꯎꯠꯄꯥ</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ꯄꯨꯋꯥꯔꯤꯗꯥ</w:t>
      </w:r>
      <w:r>
        <w:rPr>
          <w:rFonts w:ascii="Times New Roman" w:hAnsi="Times New Roman" w:eastAsia="Times New Roman" w:cs="Times New Roman"/>
        </w:rPr>
        <w:t xml:space="preserve"> </w:t>
      </w:r>
      <w:r>
        <w:rPr>
          <w:rFonts w:ascii="Nirmala UI" w:hAnsi="Nirmala UI" w:eastAsia="Nirmala UI" w:cs="Nirmala UI"/>
        </w:rPr>
        <w:t>ꯄꯦꯅꯥꯒꯤ</w:t>
      </w:r>
      <w:r>
        <w:rPr>
          <w:rFonts w:ascii="Times New Roman" w:hAnsi="Times New Roman" w:eastAsia="Times New Roman" w:cs="Times New Roman"/>
        </w:rPr>
        <w:t xml:space="preserve"> </w:t>
      </w:r>
      <w:r>
        <w:rPr>
          <w:rFonts w:ascii="Nirmala UI" w:hAnsi="Nirmala UI" w:eastAsia="Nirmala UI" w:cs="Nirmala UI"/>
        </w:rPr>
        <w:t>ꯈꯣꯡꯖꯦꯜꯁꯤ</w:t>
      </w:r>
      <w:r>
        <w:rPr>
          <w:rFonts w:ascii="Times New Roman" w:hAnsi="Times New Roman" w:eastAsia="Times New Roman" w:cs="Times New Roman"/>
        </w:rPr>
        <w:t xml:space="preserve">, </w:t>
      </w:r>
      <w:r>
        <w:rPr>
          <w:rFonts w:ascii="Nirmala UI" w:hAnsi="Nirmala UI" w:eastAsia="Nirmala UI" w:cs="Nirmala UI"/>
        </w:rPr>
        <w:t>ꯆꯤꯡꯗꯨ</w:t>
      </w:r>
      <w:r>
        <w:rPr>
          <w:rFonts w:ascii="Times New Roman" w:hAnsi="Times New Roman" w:eastAsia="Times New Roman" w:cs="Times New Roman"/>
        </w:rPr>
        <w:t xml:space="preserve"> </w:t>
      </w:r>
      <w:r>
        <w:rPr>
          <w:rFonts w:ascii="Nirmala UI" w:hAnsi="Nirmala UI" w:eastAsia="Nirmala UI" w:cs="Nirmala UI"/>
        </w:rPr>
        <w:t>ꯃꯥꯌ</w:t>
      </w:r>
      <w:r>
        <w:rPr>
          <w:rFonts w:ascii="Times New Roman" w:hAnsi="Times New Roman" w:eastAsia="Times New Roman" w:cs="Times New Roman"/>
        </w:rPr>
        <w:t xml:space="preserve"> </w:t>
      </w:r>
      <w:r>
        <w:rPr>
          <w:rFonts w:ascii="Nirmala UI" w:hAnsi="Nirmala UI" w:eastAsia="Nirmala UI" w:cs="Nirmala UI"/>
        </w:rPr>
        <w:t>ꯍꯟꯕꯒ</w:t>
      </w:r>
      <w:r>
        <w:rPr>
          <w:rFonts w:ascii="Times New Roman" w:hAnsi="Times New Roman" w:eastAsia="Times New Roman" w:cs="Times New Roman"/>
        </w:rPr>
        <w:t xml:space="preserve"> </w:t>
      </w:r>
      <w:r>
        <w:rPr>
          <w:rFonts w:ascii="Nirmala UI" w:hAnsi="Nirmala UI" w:eastAsia="Nirmala UI" w:cs="Nirmala UI"/>
        </w:rPr>
        <w:t>ꯂꯣꯏꯅꯥ</w:t>
      </w:r>
      <w:r>
        <w:rPr>
          <w:rFonts w:ascii="Times New Roman" w:hAnsi="Times New Roman" w:eastAsia="Times New Roman" w:cs="Times New Roman"/>
        </w:rPr>
        <w:t xml:space="preserve"> </w:t>
      </w:r>
      <w:r>
        <w:rPr>
          <w:rFonts w:ascii="Nirmala UI" w:hAnsi="Nirmala UI" w:eastAsia="Nirmala UI" w:cs="Nirmala UI"/>
        </w:rPr>
        <w:t>ꯃꯦꯝ</w:t>
      </w:r>
      <w:r>
        <w:rPr>
          <w:rFonts w:ascii="Times New Roman" w:hAnsi="Times New Roman" w:eastAsia="Times New Roman" w:cs="Times New Roman"/>
        </w:rPr>
        <w:t xml:space="preserve"> </w:t>
      </w:r>
      <w:r>
        <w:rPr>
          <w:rFonts w:ascii="Nirmala UI" w:hAnsi="Nirmala UI" w:eastAsia="Nirmala UI" w:cs="Nirmala UI"/>
        </w:rPr>
        <w:t>ꯎꯕꯗꯒꯤ</w:t>
      </w:r>
      <w:r>
        <w:rPr>
          <w:rFonts w:ascii="Times New Roman" w:hAnsi="Times New Roman" w:eastAsia="Times New Roman" w:cs="Times New Roman"/>
        </w:rPr>
        <w:t xml:space="preserve">, </w:t>
      </w:r>
      <w:r>
        <w:rPr>
          <w:rFonts w:ascii="Nirmala UI" w:hAnsi="Nirmala UI" w:eastAsia="Nirmala UI" w:cs="Nirmala UI"/>
        </w:rPr>
        <w:t>ꯍꯣꯠꯅ</w:t>
      </w:r>
      <w:r>
        <w:rPr>
          <w:rFonts w:ascii="Times New Roman" w:hAnsi="Times New Roman" w:eastAsia="Times New Roman" w:cs="Times New Roman"/>
        </w:rPr>
        <w:t xml:space="preserve"> </w:t>
      </w:r>
      <w:r>
        <w:rPr>
          <w:rFonts w:ascii="Nirmala UI" w:hAnsi="Nirmala UI" w:eastAsia="Nirmala UI" w:cs="Nirmala UI"/>
        </w:rPr>
        <w:t>ꯍꯣꯠꯅ</w:t>
      </w:r>
      <w:r>
        <w:rPr>
          <w:rFonts w:ascii="Times New Roman" w:hAnsi="Times New Roman" w:eastAsia="Times New Roman" w:cs="Times New Roman"/>
        </w:rPr>
        <w:t xml:space="preserve"> </w:t>
      </w:r>
      <w:r>
        <w:rPr>
          <w:rFonts w:ascii="Nirmala UI" w:hAnsi="Nirmala UI" w:eastAsia="Nirmala UI" w:cs="Nirmala UI"/>
        </w:rPr>
        <w:t>ꯁꯦꯝꯒꯠꯂꯛꯈꯤ꯫</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ꯍꯥꯛꯆꯥꯡ</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ꯌꯥꯝꯅꯥ</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ꯃꯣꯁꯦꯁ</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ꯌꯥꯝꯅꯥ</w:t>
      </w:r>
      <w:r>
        <w:rPr>
          <w:rFonts w:ascii="Times New Roman" w:hAnsi="Times New Roman" w:eastAsia="Times New Roman" w:cs="Times New Roman"/>
        </w:rPr>
        <w:t xml:space="preserve"> </w:t>
      </w:r>
      <w:r>
        <w:rPr>
          <w:rFonts w:ascii="Nirmala UI" w:hAnsi="Nirmala UI" w:eastAsia="Nirmala UI" w:cs="Nirmala UI"/>
        </w:rPr>
        <w:t>ꯈꯥꯛꯇꯅꯥ</w:t>
      </w:r>
      <w:r>
        <w:rPr>
          <w:rFonts w:ascii="Times New Roman" w:hAnsi="Times New Roman" w:eastAsia="Times New Roman" w:cs="Times New Roman"/>
        </w:rPr>
        <w:t xml:space="preserve"> </w:t>
      </w:r>
      <w:r>
        <w:rPr>
          <w:rFonts w:ascii="Nirmala UI" w:hAnsi="Nirmala UI" w:eastAsia="Nirmala UI" w:cs="Nirmala UI"/>
        </w:rPr>
        <w:t>ꯃꯥꯌ</w:t>
      </w:r>
      <w:r>
        <w:rPr>
          <w:rFonts w:ascii="Times New Roman" w:hAnsi="Times New Roman" w:eastAsia="Times New Roman" w:cs="Times New Roman"/>
        </w:rPr>
        <w:t xml:space="preserve"> </w:t>
      </w:r>
      <w:r>
        <w:rPr>
          <w:rFonts w:ascii="Nirmala UI" w:hAnsi="Nirmala UI" w:eastAsia="Nirmala UI" w:cs="Nirmala UI"/>
        </w:rPr>
        <w:t>ꯍꯟꯈꯤ꯫</w:t>
      </w:r>
      <w:r>
        <w:rPr>
          <w:rFonts w:ascii="Times New Roman" w:hAnsi="Times New Roman" w:eastAsia="Times New Roman" w:cs="Times New Roman"/>
        </w:rPr>
        <w:t xml:space="preserve"> </w:t>
      </w:r>
      <w:r>
        <w:rPr>
          <w:rFonts w:ascii="Nirmala UI" w:hAnsi="Nirmala UI" w:eastAsia="Nirmala UI" w:cs="Nirmala UI"/>
        </w:rPr>
        <w:t>ꯃꯤꯌꯥꯝꯅ</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ꯑꯈꯥꯡꯕ</w:t>
      </w:r>
      <w:r>
        <w:rPr>
          <w:rFonts w:ascii="Times New Roman" w:hAnsi="Times New Roman" w:eastAsia="Times New Roman" w:cs="Times New Roman"/>
        </w:rPr>
        <w:t xml:space="preserve"> </w:t>
      </w:r>
      <w:r>
        <w:rPr>
          <w:rFonts w:ascii="Nirmala UI" w:hAnsi="Nirmala UI" w:eastAsia="Nirmala UI" w:cs="Nirmala UI"/>
        </w:rPr>
        <w:t>ꯃꯄꯥꯟꯗꯥ</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ꯈꯣꯡꯖꯦꯜꯁꯤꯡ</w:t>
      </w:r>
      <w:r>
        <w:rPr>
          <w:rFonts w:ascii="Times New Roman" w:hAnsi="Times New Roman" w:eastAsia="Times New Roman" w:cs="Times New Roman"/>
        </w:rPr>
        <w:t xml:space="preserve">” </w:t>
      </w:r>
      <w:r>
        <w:rPr>
          <w:rFonts w:ascii="Nirmala UI" w:hAnsi="Nirmala UI" w:eastAsia="Nirmala UI" w:cs="Nirmala UI"/>
        </w:rPr>
        <w:t>ꯍꯥꯏꯖꯔꯤ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ꯌꯥꯝꯅꯥ</w:t>
      </w:r>
      <w:r>
        <w:rPr>
          <w:rFonts w:ascii="Times New Roman" w:hAnsi="Times New Roman" w:eastAsia="Times New Roman" w:cs="Times New Roman"/>
        </w:rPr>
        <w:t xml:space="preserve"> </w:t>
      </w:r>
      <w:r>
        <w:rPr>
          <w:rFonts w:ascii="Nirmala UI" w:hAnsi="Nirmala UI" w:eastAsia="Nirmala UI" w:cs="Nirmala UI"/>
        </w:rPr>
        <w:t>ꯑꯣꯏꯔꯤꯕ</w:t>
      </w:r>
      <w:r>
        <w:rPr>
          <w:rFonts w:ascii="Times New Roman" w:hAnsi="Times New Roman" w:eastAsia="Times New Roman" w:cs="Times New Roman"/>
        </w:rPr>
        <w:t xml:space="preserve"> </w:t>
      </w:r>
      <w:r>
        <w:rPr>
          <w:rFonts w:ascii="Nirmala UI" w:hAnsi="Nirmala UI" w:eastAsia="Nirmala UI" w:cs="Nirmala UI"/>
        </w:rPr>
        <w:t>ꯑꯈꯥꯡꯕꯒꯤ</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ꯏꯟꯅꯥ</w:t>
      </w:r>
      <w:r>
        <w:rPr>
          <w:rFonts w:ascii="Times New Roman" w:hAnsi="Times New Roman" w:eastAsia="Times New Roman" w:cs="Times New Roman"/>
        </w:rPr>
        <w:t xml:space="preserve">, </w:t>
      </w:r>
      <w:r>
        <w:rPr>
          <w:rFonts w:ascii="Nirmala UI" w:hAnsi="Nirmala UI" w:eastAsia="Nirmala UI" w:cs="Nirmala UI"/>
        </w:rPr>
        <w:t>ꯏꯁ꯭ꯋꯔꯒꯤ</w:t>
      </w:r>
      <w:r>
        <w:rPr>
          <w:rFonts w:ascii="Times New Roman" w:hAnsi="Times New Roman" w:eastAsia="Times New Roman" w:cs="Times New Roman"/>
        </w:rPr>
        <w:t xml:space="preserve"> “</w:t>
      </w:r>
      <w:r>
        <w:rPr>
          <w:rFonts w:ascii="Nirmala UI" w:hAnsi="Nirmala UI" w:eastAsia="Nirmala UI" w:cs="Nirmala UI"/>
        </w:rPr>
        <w:t>ꯈꯣꯡꯖꯦꯜ</w:t>
      </w:r>
      <w:r>
        <w:rPr>
          <w:rFonts w:ascii="Times New Roman" w:hAnsi="Times New Roman" w:eastAsia="Times New Roman" w:cs="Times New Roman"/>
        </w:rPr>
        <w:t xml:space="preserve">” </w:t>
      </w:r>
      <w:r>
        <w:rPr>
          <w:rFonts w:ascii="Nirmala UI" w:hAnsi="Nirmala UI" w:eastAsia="Nirmala UI" w:cs="Nirmala UI"/>
        </w:rPr>
        <w:t>ꯃꯈꯥ</w:t>
      </w:r>
      <w:r>
        <w:rPr>
          <w:rFonts w:ascii="Times New Roman" w:hAnsi="Times New Roman" w:eastAsia="Times New Roman" w:cs="Times New Roman"/>
        </w:rPr>
        <w:t xml:space="preserve"> </w:t>
      </w:r>
      <w:r>
        <w:rPr>
          <w:rFonts w:ascii="Nirmala UI" w:hAnsi="Nirmala UI" w:eastAsia="Nirmala UI" w:cs="Nirmala UI"/>
        </w:rPr>
        <w:t>ꯆꯠꯂꯣꯏꯗꯅꯥ</w:t>
      </w:r>
      <w:r>
        <w:rPr>
          <w:rFonts w:ascii="Times New Roman" w:hAnsi="Times New Roman" w:eastAsia="Times New Roman" w:cs="Times New Roman"/>
        </w:rPr>
        <w:t xml:space="preserve"> </w:t>
      </w:r>
      <w:r>
        <w:rPr>
          <w:rFonts w:ascii="Nirmala UI" w:hAnsi="Nirmala UI" w:eastAsia="Nirmala UI" w:cs="Nirmala UI"/>
        </w:rPr>
        <w:t>ꯂꯥꯛꯑꯨ</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ꯍꯪꯖꯤꯜꯂꯛꯈꯤ꯫</w:t>
      </w:r>
    </w:p>
    <w:p>
      <w:pPr>
        <w:pStyle w:val="ArticleScripture"/>
        <w:jc w:val="left"/>
      </w:pPr>
      <w:r>
        <w:rPr>
          <w:rFonts w:ascii="Times New Roman" w:hAnsi="Times New Roman" w:eastAsia="Times New Roman" w:cs="Times New Roman"/>
        </w:rPr>
        <w:t>Nang turing ng isang trumpeta, at ng tinig ng mga salita; na ang tinig na yaon, nang marinig nila, ay ipinamanhik nila na huwag nang magsalita pa sa kanila: (Sapagkat hindi nila mabata yaong iniutos, At kung humipo man lamang ang isang hayop sa bundok, ay babatuhin, o itutuhog ng sibat: At gayon na lamang kakilabot ang tanawin, na sinabi ni Moises, Ako’y lubhang natatakot at nanginginig:). Hebreo 12:19–21.</w:t>
      </w:r>
    </w:p>
    <w:p>
      <w:pPr>
        <w:pStyle w:val="ArticleBody"/>
        <w:jc w:val="left"/>
      </w:pPr>
      <w:r>
        <w:rPr>
          <w:rFonts w:ascii="Times New Roman" w:hAnsi="Times New Roman" w:eastAsia="Times New Roman" w:cs="Times New Roman"/>
        </w:rPr>
        <w:t>“</w:t>
      </w:r>
      <w:r>
        <w:rPr>
          <w:rFonts w:ascii="Leelawadee UI" w:hAnsi="Leelawadee UI" w:eastAsia="Leelawadee UI" w:cs="Leelawadee UI"/>
        </w:rPr>
        <w:t>សំឡេង</w:t>
      </w:r>
      <w:r>
        <w:rPr>
          <w:rFonts w:ascii="Times New Roman" w:hAnsi="Times New Roman" w:eastAsia="Times New Roman" w:cs="Times New Roman"/>
        </w:rPr>
        <w:t xml:space="preserve">” </w:t>
      </w:r>
      <w:r>
        <w:rPr>
          <w:rFonts w:ascii="Leelawadee UI" w:hAnsi="Leelawadee UI" w:eastAsia="Leelawadee UI" w:cs="Leelawadee UI"/>
        </w:rPr>
        <w:t>ដែល</w:t>
      </w:r>
      <w:r>
        <w:rPr>
          <w:rFonts w:ascii="Times New Roman" w:hAnsi="Times New Roman" w:eastAsia="Times New Roman" w:cs="Times New Roman"/>
        </w:rPr>
        <w:t xml:space="preserve"> “</w:t>
      </w:r>
      <w:r>
        <w:rPr>
          <w:rFonts w:ascii="Leelawadee UI" w:hAnsi="Leelawadee UI" w:eastAsia="Leelawadee UI" w:cs="Leelawadee UI"/>
        </w:rPr>
        <w:t>ពួកគេ</w:t>
      </w:r>
      <w:r>
        <w:rPr>
          <w:rFonts w:ascii="Times New Roman" w:hAnsi="Times New Roman" w:eastAsia="Times New Roman" w:cs="Times New Roman"/>
        </w:rPr>
        <w:t xml:space="preserve">” </w:t>
      </w:r>
      <w:r>
        <w:rPr>
          <w:rFonts w:ascii="Leelawadee UI" w:hAnsi="Leelawadee UI" w:eastAsia="Leelawadee UI" w:cs="Leelawadee UI"/>
        </w:rPr>
        <w:t>បាន</w:t>
      </w:r>
      <w:r>
        <w:rPr>
          <w:rFonts w:ascii="Times New Roman" w:hAnsi="Times New Roman" w:eastAsia="Times New Roman" w:cs="Times New Roman"/>
        </w:rPr>
        <w:t xml:space="preserve"> “</w:t>
      </w:r>
      <w:r>
        <w:rPr>
          <w:rFonts w:ascii="Leelawadee UI" w:hAnsi="Leelawadee UI" w:eastAsia="Leelawadee UI" w:cs="Leelawadee UI"/>
        </w:rPr>
        <w:t>ឮ</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តំណាងឲ្យ</w:t>
      </w:r>
      <w:r>
        <w:rPr>
          <w:rFonts w:ascii="Times New Roman" w:hAnsi="Times New Roman" w:eastAsia="Times New Roman" w:cs="Times New Roman"/>
        </w:rPr>
        <w:t xml:space="preserve"> “</w:t>
      </w:r>
      <w:r>
        <w:rPr>
          <w:rFonts w:ascii="Leelawadee UI" w:hAnsi="Leelawadee UI" w:eastAsia="Leelawadee UI" w:cs="Leelawadee UI"/>
        </w:rPr>
        <w:t>សំឡេង</w:t>
      </w:r>
      <w:r>
        <w:rPr>
          <w:rFonts w:ascii="Times New Roman" w:hAnsi="Times New Roman" w:eastAsia="Times New Roman" w:cs="Times New Roman"/>
        </w:rPr>
        <w:t xml:space="preserve">” </w:t>
      </w:r>
      <w:r>
        <w:rPr>
          <w:rFonts w:ascii="Leelawadee UI" w:hAnsi="Leelawadee UI" w:eastAsia="Leelawadee UI" w:cs="Leelawadee UI"/>
        </w:rPr>
        <w:t>នៃសារព្រមានរបស់ទេវតាទីបី។</w:t>
      </w:r>
      <w:r>
        <w:rPr>
          <w:rFonts w:ascii="Times New Roman" w:hAnsi="Times New Roman" w:eastAsia="Times New Roman" w:cs="Times New Roman"/>
        </w:rPr>
        <w:t xml:space="preserve"> </w:t>
      </w:r>
      <w:r>
        <w:rPr>
          <w:rFonts w:ascii="Leelawadee UI" w:hAnsi="Leelawadee UI" w:eastAsia="Leelawadee UI" w:cs="Leelawadee UI"/>
        </w:rPr>
        <w:t>ក្នុងការឈឺចាប់វេទនាដ៏គួរឲ្យភ័យខ្លាច</w:t>
      </w:r>
      <w:r>
        <w:rPr>
          <w:rFonts w:ascii="Times New Roman" w:hAnsi="Times New Roman" w:eastAsia="Times New Roman" w:cs="Times New Roman"/>
        </w:rPr>
        <w:t xml:space="preserve"> </w:t>
      </w:r>
      <w:r>
        <w:rPr>
          <w:rFonts w:ascii="Leelawadee UI" w:hAnsi="Leelawadee UI" w:eastAsia="Leelawadee UI" w:cs="Leelawadee UI"/>
        </w:rPr>
        <w:t>ពួកគេបានឆ្លើយតបដោយ</w:t>
      </w:r>
      <w:r>
        <w:rPr>
          <w:rFonts w:ascii="Times New Roman" w:hAnsi="Times New Roman" w:eastAsia="Times New Roman" w:cs="Times New Roman"/>
        </w:rPr>
        <w:t xml:space="preserve"> “</w:t>
      </w:r>
      <w:r>
        <w:rPr>
          <w:rFonts w:ascii="Leelawadee UI" w:hAnsi="Leelawadee UI" w:eastAsia="Leelawadee UI" w:cs="Leelawadee UI"/>
        </w:rPr>
        <w:t>សំឡេង</w:t>
      </w:r>
      <w:r>
        <w:rPr>
          <w:rFonts w:ascii="Times New Roman" w:hAnsi="Times New Roman" w:eastAsia="Times New Roman" w:cs="Times New Roman"/>
        </w:rPr>
        <w:t xml:space="preserve">” </w:t>
      </w:r>
      <w:r>
        <w:rPr>
          <w:rFonts w:ascii="Leelawadee UI" w:hAnsi="Leelawadee UI" w:eastAsia="Leelawadee UI" w:cs="Leelawadee UI"/>
        </w:rPr>
        <w:t>របស់ខ្លួនឯង។</w:t>
      </w:r>
      <w:r>
        <w:rPr>
          <w:rFonts w:ascii="Times New Roman" w:hAnsi="Times New Roman" w:eastAsia="Times New Roman" w:cs="Times New Roman"/>
        </w:rPr>
        <w:t xml:space="preserve"> </w:t>
      </w:r>
      <w:r>
        <w:rPr>
          <w:rFonts w:ascii="Leelawadee UI" w:hAnsi="Leelawadee UI" w:eastAsia="Leelawadee UI" w:cs="Leelawadee UI"/>
        </w:rPr>
        <w:t>សំឡេងនៅពេលច្បាប់ថ្ងៃអាទិត្យ</w:t>
      </w:r>
      <w:r>
        <w:rPr>
          <w:rFonts w:ascii="Times New Roman" w:hAnsi="Times New Roman" w:eastAsia="Times New Roman" w:cs="Times New Roman"/>
        </w:rPr>
        <w:t xml:space="preserve"> </w:t>
      </w:r>
      <w:r>
        <w:rPr>
          <w:rFonts w:ascii="Leelawadee UI" w:hAnsi="Leelawadee UI" w:eastAsia="Leelawadee UI" w:cs="Leelawadee UI"/>
        </w:rPr>
        <w:t>ក៏ត្រូវបានតំណាងដោយព្រហ្មចារីល្ងង់ដែលកំពុងសុំប្រេងដែរ</w:t>
      </w:r>
      <w:r>
        <w:rPr>
          <w:rFonts w:ascii="Times New Roman" w:hAnsi="Times New Roman" w:eastAsia="Times New Roman" w:cs="Times New Roman"/>
        </w:rPr>
        <w:t xml:space="preserve"> </w:t>
      </w:r>
      <w:r>
        <w:rPr>
          <w:rFonts w:ascii="Leelawadee UI" w:hAnsi="Leelawadee UI" w:eastAsia="Leelawadee UI" w:cs="Leelawadee UI"/>
        </w:rPr>
        <w:t>ហើយសំឡេងរបស់ព្រហ្មចារីឈ្លាសវៃប្រាប់ពួកគេឲ្យទៅទិញសម្រាប់ខ្លួនឯង។</w:t>
      </w:r>
      <w:r>
        <w:rPr>
          <w:rFonts w:ascii="Times New Roman" w:hAnsi="Times New Roman" w:eastAsia="Times New Roman" w:cs="Times New Roman"/>
        </w:rPr>
        <w:t xml:space="preserve"> </w:t>
      </w:r>
      <w:r>
        <w:rPr>
          <w:rFonts w:ascii="Leelawadee UI" w:hAnsi="Leelawadee UI" w:eastAsia="Leelawadee UI" w:cs="Leelawadee UI"/>
        </w:rPr>
        <w:t>នៅចុងបញ្ចប់នៃពេលកំណត់សាកល្បងរបស់មនុស្ស</w:t>
      </w:r>
      <w:r>
        <w:rPr>
          <w:rFonts w:ascii="Times New Roman" w:hAnsi="Times New Roman" w:eastAsia="Times New Roman" w:cs="Times New Roman"/>
        </w:rPr>
        <w:t xml:space="preserve"> “</w:t>
      </w:r>
      <w:r>
        <w:rPr>
          <w:rFonts w:ascii="Leelawadee UI" w:hAnsi="Leelawadee UI" w:eastAsia="Leelawadee UI" w:cs="Leelawadee UI"/>
        </w:rPr>
        <w:t>សំឡេង</w:t>
      </w:r>
      <w:r>
        <w:rPr>
          <w:rFonts w:ascii="Times New Roman" w:hAnsi="Times New Roman" w:eastAsia="Times New Roman" w:cs="Times New Roman"/>
        </w:rPr>
        <w:t xml:space="preserve">” </w:t>
      </w:r>
      <w:r>
        <w:rPr>
          <w:rFonts w:ascii="Leelawadee UI" w:hAnsi="Leelawadee UI" w:eastAsia="Leelawadee UI" w:cs="Leelawadee UI"/>
        </w:rPr>
        <w:t>របស់អ្នកទាំងឡាយដែលទទួលស្គាល់ថាពួកគេត្រូវបាត់បង់</w:t>
      </w:r>
      <w:r>
        <w:rPr>
          <w:rFonts w:ascii="Times New Roman" w:hAnsi="Times New Roman" w:eastAsia="Times New Roman" w:cs="Times New Roman"/>
        </w:rPr>
        <w:t xml:space="preserve"> </w:t>
      </w:r>
      <w:r>
        <w:rPr>
          <w:rFonts w:ascii="Leelawadee UI" w:hAnsi="Leelawadee UI" w:eastAsia="Leelawadee UI" w:cs="Leelawadee UI"/>
        </w:rPr>
        <w:t>ដូចជាព្រហ្មចារីអាដវិនទីស្តល្ងង់នៅពេលច្បាប់ថ្ងៃអាទិត្យ</w:t>
      </w:r>
      <w:r>
        <w:rPr>
          <w:rFonts w:ascii="Times New Roman" w:hAnsi="Times New Roman" w:eastAsia="Times New Roman" w:cs="Times New Roman"/>
        </w:rPr>
        <w:t xml:space="preserve"> </w:t>
      </w:r>
      <w:r>
        <w:rPr>
          <w:rFonts w:ascii="Leelawadee UI" w:hAnsi="Leelawadee UI" w:eastAsia="Leelawadee UI" w:cs="Leelawadee UI"/>
        </w:rPr>
        <w:t>នឹងស្រែកអំពាវនាវឲ្យថ្មភ្នំ</w:t>
      </w:r>
      <w:r>
        <w:rPr>
          <w:rFonts w:ascii="Times New Roman" w:hAnsi="Times New Roman" w:eastAsia="Times New Roman" w:cs="Times New Roman"/>
        </w:rPr>
        <w:t xml:space="preserve"> </w:t>
      </w:r>
      <w:r>
        <w:rPr>
          <w:rFonts w:ascii="Leelawadee UI" w:hAnsi="Leelawadee UI" w:eastAsia="Leelawadee UI" w:cs="Leelawadee UI"/>
        </w:rPr>
        <w:t>និងភ្នំទាំងឡាយធ្លាក់មកលើពួកគេ។</w:t>
      </w:r>
      <w:r>
        <w:rPr>
          <w:rFonts w:ascii="Times New Roman" w:hAnsi="Times New Roman" w:eastAsia="Times New Roman" w:cs="Times New Roman"/>
        </w:rPr>
        <w:t xml:space="preserve"> </w:t>
      </w:r>
      <w:r>
        <w:rPr>
          <w:rFonts w:ascii="Leelawadee UI" w:hAnsi="Leelawadee UI" w:eastAsia="Leelawadee UI" w:cs="Leelawadee UI"/>
        </w:rPr>
        <w:t>ច្បាប់ថ្ងៃអាទិត្យត្រូវបានបង្ហាញជានិមិត្តរូបដោយការប្រទានច្បាប់នៅភ្នំស៊ីណាយ។</w:t>
      </w:r>
    </w:p>
    <w:p>
      <w:pPr>
        <w:pStyle w:val="ArticleScripture"/>
        <w:jc w:val="left"/>
      </w:pPr>
      <w:r>
        <w:rPr>
          <w:rFonts w:ascii="Times New Roman" w:hAnsi="Times New Roman" w:eastAsia="Times New Roman" w:cs="Times New Roman"/>
        </w:rPr>
        <w:t>“Ne dɔ kɛseɛ a ɔsoro Tumi no yii adi wɔ saa bere kɛseɛ no mu no,—torobɛnto nnyegyee a ɛyɛ ahintasɛm, na ɛrekɔ so reyɛ den na ɛyɛ hu kɛseɛ no, aprannaa nnyegyee a ɛbɔɔ mframa wɔ bepɔw biara nkyɛn, anyinam a ɛhyerɛn no maa mmepɔw atenten no yɛɛ hann, na wɔ Sinai atifi, mununkum, ahum, ne sum kabii mu no, Onyankopɔn anuonyam daa adi sɛ ogya a ɛhyew adeɛ nyinaa,—saa nsɛnkyerɛnne a ɛdaa Yehowa animpɛsɛw adi no, Israelfoɔ akoma tuiɛ wɔ suro mu, na asafo no nyinaa “gyinaa akyirikyiri.” Moses mpo kae sɛ, “Mesu paa na me ho popo.” Afei nneɛma a na ɛreko no so no, wɔtee Yehowa nne, a na ɔreka mmara no ahyɛdeɛ du no.</w:t>
      </w:r>
    </w:p>
    <w:p>
      <w:pPr>
        <w:pStyle w:val="ArticleScripture"/>
        <w:jc w:val="left"/>
      </w:pPr>
      <w:r>
        <w:rPr>
          <w:rFonts w:ascii="Times New Roman" w:hAnsi="Times New Roman" w:eastAsia="Times New Roman" w:cs="Times New Roman"/>
        </w:rPr>
        <w:t>“Ua xikwembu lexikulu xa Xikwembu xi komba vanhu va Israele xiyimo xa vona xa ntiyiso, mimoya ya vona yi tale hi ku chava lokukulu. Matimba yo chavisa ya marito ya Xikwembu ma vonakale ma tlula leswi miri ya vona leyi rhurhumelaka a yi nga swi kota ku swi tiyisela. Va kombele Muxe, va ku, ‘Vulavula wena na hina, kutani hi ta yingisa; kambe Xikwembu xi nga vulavuli na hina, leswaku hi nga fi.’ Loko nawu lowukulu wa ku lulama wa Xikwembu wu vekiwile emahlweni ka vona, va lemukile, ku tlula nkarhi wun’wana ni wun’wana lowu hundzeke, vumunhu lebyi nyenyetsaka bya xidyoho, ni nandzu wa vona hi voxe, emahlweni ka Xikwembu lexi tengeke ni xo kwetsima.” Signs of the Times, March 3, 1881.</w:t>
      </w:r>
    </w:p>
    <w:p>
      <w:pPr>
        <w:pStyle w:val="ArticleBody"/>
        <w:jc w:val="left"/>
      </w:pPr>
      <w:r>
        <w:rPr>
          <w:rFonts w:ascii="Times New Roman" w:hAnsi="Times New Roman" w:eastAsia="Times New Roman" w:cs="Times New Roman"/>
        </w:rPr>
        <w:t>Khi lửa từ bàn thờ được ném xuống đất, thì có “tiếng nói, tiếng sấm, chớp nhoáng, và một cơn động đất.” “Tiếng sấm và chớp nhoáng” là những biểu tượng về các sự phán xét của Đức Chúa Trời. Vào thời điểm luật ngày Chủ nhật được ban hành, Hoa Kỳ sẽ đã làm cho “chén gian ác” của mình đầy trọn, và “sự bội đạo của quốc gia sẽ được tiếp theo bởi sự diệt vong của quốc gia.” “Chén gian ác” trở nên đầy trọn trong thế hệ thứ tư, vì cả hai sừng của con thú từ đất đều tiến triển qua bốn thế hệ của sự phản nghịch ngày càng gia tăng. Luật ngày Chủ nhật đánh dấu thời điểm các sự phán xét của Đức Chúa Trời, được tượng trưng bởi “tiếng sấm và chớp nhoáng,” được giáng xuống, và chúng được giáng xuống trên thế hệ thứ tư.</w:t>
      </w:r>
    </w:p>
    <w:p>
      <w:pPr>
        <w:pStyle w:val="ArticleScripture"/>
        <w:jc w:val="left"/>
      </w:pPr>
      <w:r>
        <w:rPr>
          <w:rFonts w:ascii="Times New Roman" w:hAnsi="Times New Roman" w:eastAsia="Times New Roman" w:cs="Times New Roman"/>
        </w:rPr>
        <w:t>“Bagi orang Amori, Tuhan berfirman: ‘Pada keturunan yang keempat mereka akan kembali ke sini, sebab kedurjanaan orang Amori itu belum genap.’ Meskipun bangsa ini menonjol karena penyembahan berhalanya dan kerusakannya, mereka belum juga memenuhi cawan kedurjanaan mereka, dan Allah belum mau memberikan perintah untuk pembinasaan mereka sama sekali. Umat itu harus melihat kuasa ilahi dinyatakan dengan nyata, supaya mereka dibiarkan tanpa alasan. Sang Pencipta yang penuh belas kasihan berkenan menanggung kedurjanaan mereka sampai keturunan yang keempat. Kemudian, jika tidak tampak perubahan ke arah yang lebih baik, penghukuman-Nya akan turun atas mereka.”</w:t>
      </w:r>
    </w:p>
    <w:p>
      <w:pPr>
        <w:pStyle w:val="ArticleScripture"/>
        <w:jc w:val="left"/>
      </w:pPr>
      <w:r>
        <w:rPr>
          <w:rFonts w:ascii="Times New Roman" w:hAnsi="Times New Roman" w:eastAsia="Times New Roman" w:cs="Times New Roman"/>
        </w:rPr>
        <w:t>“Dengan ketepatan yang tidak pernah meleset, Dia Yang Mahabesar tetap mencatat perhitungan dengan segala bangsa. Sementara kemurahan-Nya ditawarkan melalui panggilan-panggilan kepada pertobatan, catatan ini akan tetap terbuka; tetapi apabila angka-angkanya mencapai jumlah tertentu yang telah ditetapkan Allah, pelayanan murka-Nya pun dimulai. Perhitungan itu ditutup. Kesabaran ilahi berakhir. Tidak ada lagi permohonan belas kasihan bagi mereka.” Testimonies, jilid 5, 208.</w:t>
      </w:r>
    </w:p>
    <w:p>
      <w:pPr>
        <w:pStyle w:val="ArticleBody"/>
        <w:jc w:val="left"/>
      </w:pPr>
      <w:r>
        <w:rPr>
          <w:rFonts w:ascii="Times New Roman" w:hAnsi="Times New Roman" w:eastAsia="Times New Roman" w:cs="Times New Roman"/>
        </w:rPr>
        <w:t>Saudari White mengenal pasti penghakiman yang bermula pada undang-undang Ahad sebagai “penghakiman-penghakiman kebinasaan Allah.” Beliau mengajarkan bahawa sudah terlambat bagi umat Advent Laodikia yang bodoh, yang telah diberi peluang untuk bersedia menghadapi krisis pada waktu tengah malam, tetapi telah enggan berbuat demikian. Masa penghakiman kebinasaan bagi gadis-gadis dara yang bodoh itu ialah “suatu masa belas kasihan” bagi mereka yang belum lagi mendengar kebenaran.</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โอ</w:t>
      </w:r>
      <w:r>
        <w:rPr>
          <w:rFonts w:ascii="Times New Roman" w:hAnsi="Times New Roman" w:eastAsia="Times New Roman" w:cs="Times New Roman"/>
        </w:rPr>
        <w:t xml:space="preserve"> </w:t>
      </w:r>
      <w:r>
        <w:rPr>
          <w:rFonts w:ascii="Leelawadee UI" w:hAnsi="Leelawadee UI" w:eastAsia="Leelawadee UI" w:cs="Leelawadee UI"/>
        </w:rPr>
        <w:t>ขอสักแต่ว่าประชาชนจะรู้จักเวลาแห่งการเยี่ยมเยียนของตน</w:t>
      </w:r>
      <w:r>
        <w:rPr>
          <w:rFonts w:ascii="Times New Roman" w:hAnsi="Times New Roman" w:eastAsia="Times New Roman" w:cs="Times New Roman"/>
        </w:rPr>
        <w:t xml:space="preserve">! </w:t>
      </w:r>
      <w:r>
        <w:rPr>
          <w:rFonts w:ascii="Leelawadee UI" w:hAnsi="Leelawadee UI" w:eastAsia="Leelawadee UI" w:cs="Leelawadee UI"/>
        </w:rPr>
        <w:t>ยังมีคนจำนวนมากที่ยังมิได้ยินความจริงแห่งการทดสอบสำหรับยุคนี้</w:t>
      </w:r>
      <w:r>
        <w:rPr>
          <w:rFonts w:ascii="Times New Roman" w:hAnsi="Times New Roman" w:eastAsia="Times New Roman" w:cs="Times New Roman"/>
        </w:rPr>
        <w:t xml:space="preserve"> </w:t>
      </w:r>
      <w:r>
        <w:rPr>
          <w:rFonts w:ascii="Leelawadee UI" w:hAnsi="Leelawadee UI" w:eastAsia="Leelawadee UI" w:cs="Leelawadee UI"/>
        </w:rPr>
        <w:t>ยังมีคนจำนวนมากซึ่งพระวิญญาณของพระเจ้ากำลังทรงมุ่งหมายต่อสู้กับใจของเขา</w:t>
      </w:r>
      <w:r>
        <w:rPr>
          <w:rFonts w:ascii="Times New Roman" w:hAnsi="Times New Roman" w:eastAsia="Times New Roman" w:cs="Times New Roman"/>
        </w:rPr>
        <w:t xml:space="preserve"> </w:t>
      </w:r>
      <w:r>
        <w:rPr>
          <w:rFonts w:ascii="Leelawadee UI" w:hAnsi="Leelawadee UI" w:eastAsia="Leelawadee UI" w:cs="Leelawadee UI"/>
        </w:rPr>
        <w:t>เวลาที่การพิพากษาอันทำลายล้างของพระเจ้ามาถึงนั้น</w:t>
      </w:r>
      <w:r>
        <w:rPr>
          <w:rFonts w:ascii="Times New Roman" w:hAnsi="Times New Roman" w:eastAsia="Times New Roman" w:cs="Times New Roman"/>
        </w:rPr>
        <w:t xml:space="preserve"> </w:t>
      </w:r>
      <w:r>
        <w:rPr>
          <w:rFonts w:ascii="Leelawadee UI" w:hAnsi="Leelawadee UI" w:eastAsia="Leelawadee UI" w:cs="Leelawadee UI"/>
        </w:rPr>
        <w:t>เป็นเวลาแห่งพระเมตตาสำหรับผู้ที่ไม่เคยมีโอกาสเรียนรู้ว่าความจริงคืออะไร</w:t>
      </w:r>
      <w:r>
        <w:rPr>
          <w:rFonts w:ascii="Times New Roman" w:hAnsi="Times New Roman" w:eastAsia="Times New Roman" w:cs="Times New Roman"/>
        </w:rPr>
        <w:t xml:space="preserve"> </w:t>
      </w:r>
      <w:r>
        <w:rPr>
          <w:rFonts w:ascii="Leelawadee UI" w:hAnsi="Leelawadee UI" w:eastAsia="Leelawadee UI" w:cs="Leelawadee UI"/>
        </w:rPr>
        <w:t>องค์พระผู้เป็นเจ้าจะทอดพระเนตรพวกเขาด้วยความอ่อนโยน</w:t>
      </w:r>
      <w:r>
        <w:rPr>
          <w:rFonts w:ascii="Times New Roman" w:hAnsi="Times New Roman" w:eastAsia="Times New Roman" w:cs="Times New Roman"/>
        </w:rPr>
        <w:t xml:space="preserve"> </w:t>
      </w:r>
      <w:r>
        <w:rPr>
          <w:rFonts w:ascii="Leelawadee UI" w:hAnsi="Leelawadee UI" w:eastAsia="Leelawadee UI" w:cs="Leelawadee UI"/>
        </w:rPr>
        <w:t>พระทัยแห่งพระเมตตาของพระองค์ทรงถูกเร้า</w:t>
      </w:r>
      <w:r>
        <w:rPr>
          <w:rFonts w:ascii="Times New Roman" w:hAnsi="Times New Roman" w:eastAsia="Times New Roman" w:cs="Times New Roman"/>
        </w:rPr>
        <w:t xml:space="preserve"> </w:t>
      </w:r>
      <w:r>
        <w:rPr>
          <w:rFonts w:ascii="Leelawadee UI" w:hAnsi="Leelawadee UI" w:eastAsia="Leelawadee UI" w:cs="Leelawadee UI"/>
        </w:rPr>
        <w:t>และพระหัตถ์ของพระองค์ยังคงเหยียดออกเพื่อช่วยให้รอด</w:t>
      </w:r>
      <w:r>
        <w:rPr>
          <w:rFonts w:ascii="Times New Roman" w:hAnsi="Times New Roman" w:eastAsia="Times New Roman" w:cs="Times New Roman"/>
        </w:rPr>
        <w:t xml:space="preserve"> </w:t>
      </w:r>
      <w:r>
        <w:rPr>
          <w:rFonts w:ascii="Leelawadee UI" w:hAnsi="Leelawadee UI" w:eastAsia="Leelawadee UI" w:cs="Leelawadee UI"/>
        </w:rPr>
        <w:t>ขณะที่ประตูได้ปิดลงแล้วสำหรับผู้ที่ไม่ยอมเข้าไป</w:t>
      </w:r>
      <w:r>
        <w:rPr>
          <w:rFonts w:ascii="Times New Roman" w:hAnsi="Times New Roman" w:eastAsia="Times New Roman" w:cs="Times New Roman"/>
        </w:rPr>
        <w:t>” Testimonies, volume 9, 97.</w:t>
      </w:r>
    </w:p>
    <w:p>
      <w:pPr>
        <w:pStyle w:val="ArticleBody"/>
        <w:jc w:val="left"/>
      </w:pPr>
      <w:r>
        <w:rPr>
          <w:rFonts w:ascii="Times New Roman" w:hAnsi="Times New Roman" w:eastAsia="Times New Roman" w:cs="Times New Roman"/>
        </w:rPr>
        <w:t>Adamo patjako agbi dak kagriunga “raangkorangni ku·rang, aro rim·rimea, aro to·ongrang, aro achakgipa a·ao jikjikitani” ong·a. Para kata Revelation chikgni saksa-o “a·ao jikjikitani” ingipa “ghontani” skanggipa chu·sokani French Revolution ong·a, aro ua “ghonta”ni chu·sokbatsranggipa chu·sokani, re·baengtogipa Sunday law-o “a·a” matburungni “jikitani” ong·a. Ua “ghonta”o, adamo patjako chu·sokgipa bewalo oparangaha. Chisol Sunday law-ko dakmesokani ong·a, aro chisolo dal·begipa a·ao jikjikitani ong·aha.</w:t>
      </w:r>
    </w:p>
    <w:p>
      <w:pPr>
        <w:pStyle w:val="ArticleScripture"/>
        <w:jc w:val="left"/>
      </w:pPr>
      <w:r>
        <w:rPr>
          <w:rFonts w:ascii="Times New Roman" w:hAnsi="Times New Roman" w:eastAsia="Times New Roman" w:cs="Times New Roman"/>
        </w:rPr>
        <w:t>Yesus, setelah berseru sekali lagi dengan suara nyaring, menyerahkan nyawa-Nya. Dan lihatlah, tabir Bait Suci terbelah dua dari atas sampai ke bawah; dan bumi pun berguncang, dan batu-batu karang terbelah. Matius 25:51.</w:t>
      </w:r>
    </w:p>
    <w:p>
      <w:pPr>
        <w:pStyle w:val="ArticleBody"/>
        <w:jc w:val="left"/>
      </w:pPr>
      <w:r>
        <w:rPr>
          <w:rFonts w:ascii="Microsoft YaHei" w:hAnsi="Microsoft YaHei" w:eastAsia="Microsoft YaHei" w:cs="Microsoft YaHei"/>
        </w:rPr>
        <w:t>在十字架上</w:t>
      </w:r>
      <w:r>
        <w:rPr>
          <w:rFonts w:ascii="Times New Roman" w:hAnsi="Times New Roman" w:eastAsia="Times New Roman" w:cs="Times New Roman"/>
        </w:rPr>
        <w:t>,</w:t>
      </w:r>
      <w:r>
        <w:rPr>
          <w:rFonts w:ascii="Microsoft YaHei" w:hAnsi="Microsoft YaHei" w:eastAsia="Microsoft YaHei" w:cs="Microsoft YaHei"/>
        </w:rPr>
        <w:t>撒但的国度被推翻了</w:t>
      </w:r>
      <w:r>
        <w:rPr>
          <w:rFonts w:ascii="Times New Roman" w:hAnsi="Times New Roman" w:eastAsia="Times New Roman" w:cs="Times New Roman"/>
        </w:rPr>
        <w:t>,</w:t>
      </w:r>
      <w:r>
        <w:rPr>
          <w:rFonts w:ascii="Microsoft YaHei" w:hAnsi="Microsoft YaHei" w:eastAsia="Microsoft YaHei" w:cs="Microsoft YaHei"/>
        </w:rPr>
        <w:t>正如在星期日法案之时也必如此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“Kristus tidak menyerahkan nyawa-Nya hingga Ia telah menyelesaikan pekerjaan yang untuk itu Ia datang, dan dengan napas-Nya yang terakhir Ia berseru, ‘Sudah selesai.’ Yohanes 19:30. Pertempuran itu telah dimenangkan. Tangan kanan-Nya dan lengan-Nya yang kudus telah mengaruniakan kepada-Nya kemenangan. Sebagai seorang Penakluk Ia menancapkan panji-Nya di ketinggian yang kekal. Tidakkah ada sukacita di antara para malaikat? Seluruh surga bersorak atas kemenangan Juruselamat. Iblis telah dikalahkan, dan ia mengetahui bahwa kerajaannya telah hilang.” The Desire of Ages, 758.</w:t>
      </w:r>
    </w:p>
    <w:p>
      <w:pPr>
        <w:pStyle w:val="ArticleBody"/>
        <w:jc w:val="left"/>
      </w:pPr>
      <w:r>
        <w:rPr>
          <w:rFonts w:ascii="Times New Roman" w:hAnsi="Times New Roman" w:eastAsia="Times New Roman" w:cs="Times New Roman"/>
        </w:rPr>
        <w:t>Tšhiisinik sha krus asi enege “tsĩweel,” ashi Alpha ni Omega. “Tsĩweel” asi umbotung, keskne, ni imbanotung; asi ebraiikab ng’aleek ashi kiikwer toltolto ak leta ne boiboiyet, ne tomonwokik ak ne bo taayetab letaab Ebraiik. Ko mii nega nyoluut ta Yesu Kristo ko mii amune nega nyoluut ase bo yeetab. Ko krusit mii nyoluut ne boiboiyet, ko geeret, ko amu nyoluut ase bo yeetab. Ase nyoluutek chuuk tugul, geeretab meet tuliin.</w:t>
      </w:r>
    </w:p>
    <w:p>
      <w:pPr>
        <w:pStyle w:val="ArticleScripture"/>
        <w:jc w:val="left"/>
      </w:pPr>
      <w:r>
        <w:rPr>
          <w:rFonts w:ascii="Times New Roman" w:hAnsi="Times New Roman" w:eastAsia="Times New Roman" w:cs="Times New Roman"/>
        </w:rPr>
        <w:t>“Bile Yesus, a le hang ba khupeng, a goeletša a re, ‘Go fedile,’ maswika a phulega, lefase la šišinyega, gomme a mangwe a mabitla a bulega. Ge a tsoga e le mofenyi godimo ga lehu le lebitla, mola lefase le be le thekesela gomme letago la legodimo le phadima go dikologa lefelo leo le lekgethwa, ba bantši ba bahu ba baloki, ba ba kwelego pitšo ya Gagwe, ba tšwa e le dihlatse tša gore O tsogile. Bakgethwa bao ba tsogilego, ba ba amogetšwego ka kgaugelo yeo, ba tšwile ba tagafaditšwe. E be e le bakgethiwa le bakgethwa ba mehla ka moka, go tloga tlholegong go fihla le mehleng ya Kriste. Ka tsela yeo, ge baetapele ba Bajuda ba be ba nyaka go uta taba ya go tsoga ga Kriste, Modimo o kgethile go tsoša sehlopha go tšwa mabitleng a bona gore se hlatse gore Yesus o tsogile, le go tsebatša letago la Gagwe.” Early Writings, 184.</w:t>
      </w:r>
    </w:p>
    <w:p>
      <w:pPr>
        <w:pStyle w:val="ArticleBody"/>
        <w:jc w:val="left"/>
      </w:pPr>
      <w:r>
        <w:rPr>
          <w:rFonts w:ascii="Times New Roman" w:hAnsi="Times New Roman" w:eastAsia="Times New Roman" w:cs="Times New Roman"/>
        </w:rPr>
        <w:t>Sa pagkayugyog sing una, nabuksan ang mga lulubngan, kag sa katapusan nga pagkayugyog nabuksan ang lulubngan ni Cristo. Sa Bugna kapitulo onse, ang duha ka mga saksi nagguwa halin sa ila mga lulubngan sa amo man nga takna sang pagkayugyog. Ang pagkayugyog amo ang balaud sang Dominggo, nga ginatipan sang krus. Gani, may yara sang duha ka pagkabanhaw sa takna sang balaud sang Dominggo. Ang nahauna nagalaragway sang pagkatawo sang isa ka gatos apat ka pulo kag apat ka libo nga nagakatabo antes ang babayi magbati sing kapaitan; ang ikaduha nagakatabo sa iya pagpangabudlay. Ang babayi sang Bugna dose anay nagabun-ag sang bata nga lalaki nga magahari sa mga pungsod paagi sa pamalo nga salsalon, nga wala sing kasakit sang pagpanganak. Dayon sa balaud sang Dominggo, nagasugod ang iya mga kapaitan kag ginabun-ag niya ang ikaduha nga bata. Nahauna, ginabun-ag niya si Elias, kag sa katapusan ginabun-ag niya si Moises. Ang balaud sang Dominggo amo ang takna sang pagkabanhaw sang kaluha sang Bugna pito.</w:t>
      </w:r>
    </w:p>
    <w:p>
      <w:pPr>
        <w:pStyle w:val="ArticleBody"/>
        <w:jc w:val="left"/>
      </w:pPr>
      <w:r>
        <w:rPr>
          <w:rFonts w:ascii="Times New Roman" w:hAnsi="Times New Roman" w:eastAsia="Times New Roman" w:cs="Times New Roman"/>
        </w:rPr>
        <w:t>Apabila meterai yang ketujuh dibuka sepenuhnya pada waktu undang-undang Ahad, maka sunyi senyaplah di syurga kira-kira setengah jam.</w:t>
      </w:r>
    </w:p>
    <w:p>
      <w:pPr>
        <w:pStyle w:val="ArticleScripture"/>
        <w:jc w:val="left"/>
      </w:pPr>
      <w:r>
        <w:rPr>
          <w:rFonts w:ascii="Times New Roman" w:hAnsi="Times New Roman" w:eastAsia="Times New Roman" w:cs="Times New Roman"/>
        </w:rPr>
        <w:t>“Ntwa Rrebo o ne a boga mmogo le Morwa wa Gagwe. Baengele ba ne ba bona botlhoko jo bo maatla jwa Mmoloki. Ba ne ba bona Morena wa bona a dikologilwe ke makoko a masole a ga Satane, tlholego ya Gagwe e imedisitswe ke poifo e e tshosang, e e sa tlhaloganyegeng. Go ne go didimetse kwa legodimong. Go ne go se na harepe epe e e neng ya kgwatlhwa. Fa batho ba ba swang ba ka bo ba bone kgakgamalo ya lesomo la baengele fa, mo kutlobotlhokong e e didimetseng, ba ne ba lebeletse Rara a kgaoganya marang a Gagwe a lesedi, lorato, le kgalalelo le Morwa wa Gagwe yo o rategang, ba ka bo ba tlhalogantse botoka kafa boleo bo kgopisang ka teng mo matlhong a Gagwe.” The Desire of Ages, 693.</w:t>
      </w:r>
    </w:p>
    <w:p>
      <w:pPr>
        <w:pStyle w:val="ArticleBody"/>
        <w:jc w:val="left"/>
      </w:pPr>
      <w:r>
        <w:rPr>
          <w:rFonts w:ascii="Times New Roman" w:hAnsi="Times New Roman" w:eastAsia="Times New Roman" w:cs="Times New Roman"/>
        </w:rPr>
        <w:t>Panguna nga tunga sa oras sang oras sang linog nagalaragway sang nahauna nga pagkatawo ukon pagkabanhaw sang duha ka mga saksi. Sa sina nga tunga sa oras, ang duha ka mga saksi ginatatakan. Kinahanglan nga matatakan sila antes sang balaod sang Domingo, kay sila amo ang bandera nga nagatawag sa isa pa ka anak nga maguwa halin sa lulubngan sa nabilin nga tunga sa oras. Ang ikaduha nga anak mahimo lamang mabuhi paagi sa pagtan-aw sang mga kalalakin-an kag mga kababayen-an nga may tatak sang Dios sa tunga sang mga kasakit sang krisis sang balaod sang Domingo.</w:t>
      </w:r>
    </w:p>
    <w:p>
      <w:pPr>
        <w:pStyle w:val="ArticleScripture"/>
        <w:jc w:val="left"/>
      </w:pPr>
      <w:r>
        <w:rPr>
          <w:rFonts w:ascii="Times New Roman" w:hAnsi="Times New Roman" w:eastAsia="Times New Roman" w:cs="Times New Roman"/>
        </w:rPr>
        <w:t>“Kerja Roh Kudus ialah untuk meyakinkan dunia tentang dosa, tentang kebenaran, dan tentang penghakiman. Dunia hanya dapat diperingatkan dengan melihat mereka yang percaya akan kebenaran itu dikuduskan oleh kebenaran, bertindak menurut prinsip-prinsip yang tinggi dan kudus, serta memperlihatkan, dalam pengertian yang luhur dan mulia, garis pemisah antara mereka yang menuruti perintah-perintah Allah dan mereka yang menginjak-injaknya di bawah kaki mereka. Pengudusan oleh Roh menandai perbezaan antara mereka yang memiliki meterai Allah dan mereka yang memelihara suatu hari perhentian yang palsu. Apabila ujian itu datang, akan dinyatakan dengan jelas apakah tanda binatang itu. Itulah pemeliharaan hari Ahad. Mereka yang, setelah mendengar kebenaran, tetap menganggap hari ini sebagai hari yang kudus, memikul cap manusia durhaka, yang menyangka dapat mengubah masa dan hukum.” Bible Training School, December 1, 1903.</w:t>
      </w:r>
    </w:p>
    <w:p>
      <w:pPr>
        <w:pStyle w:val="ArticleBody"/>
        <w:jc w:val="left"/>
      </w:pPr>
      <w:r>
        <w:rPr>
          <w:rFonts w:ascii="Times New Roman" w:hAnsi="Times New Roman" w:eastAsia="Times New Roman" w:cs="Times New Roman"/>
        </w:rPr>
        <w:t>Nne ndi mbụ a mụrụ nke nwanyị ahụ bụ otu narị puku na puku iri anọ na anọ ndị a kọwara dịka mkpụrụ mbụ n’akwụkwọ Mkpughe. Ha na-anọchi anya ihe ịrịba ama nke ìgwè atụrụ nke ọzọ ga-amata n’oge nsogbu na ọgụ nke ọgụ iwu Sọnde. Ihe ịrịba ama ahụ bụ Ụbọchị Izu Ike, nke otu narị puku na puku iri anọ na anọ ahụ na-agbachitere n’oge a na-adịghị ekwe n’iwu ime otú ahụ. Sister White kpọrọ ọkọlọtọ ha “ọkọlọtọ nke Ọbara juru, nke Onyeisi Emmanuel.”</w:t>
      </w:r>
    </w:p>
    <w:p>
      <w:pPr>
        <w:pStyle w:val="ArticleScripture"/>
        <w:jc w:val="left"/>
      </w:pPr>
      <w:r>
        <w:rPr>
          <w:rFonts w:ascii="Times New Roman" w:hAnsi="Times New Roman" w:eastAsia="Times New Roman" w:cs="Times New Roman"/>
        </w:rPr>
        <w:t>“Dalam penglihatan aku melihat dua tentera dalam pertentangan yang dahsyat. Satu tentera dipimpin oleh panji-panji yang memaparkan lambang dunia; yang satu lagi dipimpin oleh panji yang berlumuran darah milik Putera Emmanuel. Panji demi panji dibiarkan terseret di dalam debu, sementara pasukan demi pasukan daripada tentera Tuhan menyertai pihak musuh, dan suku demi suku daripada barisan musuh bersatu dengan umat Allah yang memelihara perintah-perintah-Nya. Seorang malaikat yang terbang di tengah-tengah langit meletakkan panji Emmanuel ke dalam banyak tangan, sementara seorang panglima yang perkasa berseru dengan suara nyaring: ‘Berbarislah. Biarlah mereka yang setia kepada perintah-perintah Allah dan kesaksian Kristus sekarang mengambil tempat mereka. Keluarlah dari antara mereka, dan pisahkanlah dirimu, dan janganlah menjamah yang najis, maka Aku akan menerima kamu, dan akan menjadi Bapa bagimu, dan kamu akan menjadi anak-anak lelaki dan anak-anak perempuan-Ku. Biarlah semua yang mahu, tampil menolong Tuhan, menolong Tuhan melawan orang-orang perkasa.’” Testimonies, jilid 8, 41.</w:t>
      </w:r>
    </w:p>
    <w:p>
      <w:pPr>
        <w:pStyle w:val="ArticleBody"/>
        <w:jc w:val="left"/>
      </w:pPr>
      <w:r>
        <w:rPr>
          <w:rFonts w:ascii="Times New Roman" w:hAnsi="Times New Roman" w:eastAsia="Times New Roman" w:cs="Times New Roman"/>
        </w:rPr>
        <w:t>Panji yang berlumuran darah ialah sesuatu yang mesti dilihat oleh kawanan Tuhan yang lain pada waktu krisis hukum hari Ahad. Panji itu ialah cahaya yang sedang terbit, yang dibawa oleh seratus empat puluh empat ribu. Panji itu berwarna merah, kerana itulah panji yang berlumuran darah. Panji itu telah dilambangkan dalam peperangan Yerikho, apabila Rahab menerima dan melindungi para pengintip, lalu mengakui penaklukannya kepada bala tentera Yosua dengan meletakkan seutas tali kirmizi pada tingkapnya. Rahab melambangkan anak-anak sulung Tuhan yang kedua dalam krisis hukum hari Ahad, yang melihat dan menerima tanda kirmizi itu, lalu datang kepada ketaatan terhadap bala tentera Yosua. Tali kirmizi yang digunakan oleh Rahab itu merupakan suatu tanda bagi bala tentera Yosua supaya tidak membinasakan seisi rumah Rahab.</w:t>
      </w:r>
    </w:p>
    <w:p>
      <w:pPr>
        <w:pStyle w:val="ArticleBody"/>
        <w:jc w:val="left"/>
      </w:pPr>
      <w:r>
        <w:rPr>
          <w:rFonts w:ascii="Times New Roman" w:hAnsi="Times New Roman" w:eastAsia="Times New Roman" w:cs="Times New Roman"/>
        </w:rPr>
        <w:t>Rahab melambangkan mereka yang masih berada di Babel pada masa krisis undang-undang Ahad, dan tentera Yosua melambangkan anak sulung daripada seratus empat puluh empat ribu orang. Benang merah kirmizi ialah lambang Sabat Tuhan. Benang merah kirmizi itu merupakan perintah para pengintip yang diberikan kepada Rahab, yang mesti dipatuhinya jika dia hendak memperoleh perlindungan Tuhan.</w:t>
      </w:r>
    </w:p>
    <w:p>
      <w:pPr>
        <w:pStyle w:val="ArticleScripture"/>
        <w:jc w:val="left"/>
      </w:pPr>
      <w:r>
        <w:rPr>
          <w:rFonts w:ascii="Times New Roman" w:hAnsi="Times New Roman" w:eastAsia="Times New Roman" w:cs="Times New Roman"/>
        </w:rPr>
        <w:t>Lihatlah, apabila kami masuk ke negeri itu, engkau harus mengikat tali benang kirmizi ini pada tingkap tempat engkau menurunkan kami; dan engkau harus membawa ayahmu, ibumu, saudara-saudaramu, dan seluruh isi rumah ayahmu, ke rumahmu. Yosua 2:8.</w:t>
      </w:r>
    </w:p>
    <w:p>
      <w:pPr>
        <w:pStyle w:val="ArticleBody"/>
        <w:jc w:val="left"/>
      </w:pPr>
      <w:r>
        <w:rPr>
          <w:rFonts w:ascii="Times New Roman" w:hAnsi="Times New Roman" w:eastAsia="Times New Roman" w:cs="Times New Roman"/>
        </w:rPr>
        <w:t>Tanda yang mesti dilihat oleh mereka yang masih berada di Babel dilambangkan oleh benang merah tua, iaitu Sabat, yang juga menandakan perbezaan antara kedua-dua anak kembar itu. Anak kembar yang lahir dahulu ialah seratus empat puluh empat ribu, kerana mereka memegang panji-panji Putera Emmanuel yang berlumuran darah di tangan mereka.</w:t>
      </w:r>
    </w:p>
    <w:p>
      <w:pPr>
        <w:pStyle w:val="ArticleScripture"/>
        <w:jc w:val="left"/>
      </w:pPr>
      <w:r>
        <w:rPr>
          <w:rFonts w:ascii="Times New Roman" w:hAnsi="Times New Roman" w:eastAsia="Times New Roman" w:cs="Times New Roman"/>
        </w:rPr>
        <w:t>Na A o tla emisa folaga bakeng sa lichaba, a bokelle ba lahliloeng ba Iseraele, ’me a phuthe ba hasaneng ba Juda ho tloha likhutlong tse ’nè tsa lefatše. Mohono oa Efraime le oona o tla fela, ’me lira tsa Juda li tla felisoa; Efraime a ke ke a honohela Juda, ’me Juda a ke ke a hlorisa Efraime. Empa ba tla fofela mahetleng a Bafilista ka bophirimela; ba tla hapa ba bochabela hammoho; ba tla bea letsoho la bona holim’a Edomo le Moabe; ’me bana ba Ammone ba tla ba mamela. Esaia 11:12–14.</w:t>
      </w:r>
    </w:p>
    <w:p>
      <w:pPr>
        <w:pStyle w:val="ArticleBody"/>
        <w:jc w:val="left"/>
      </w:pPr>
      <w:r>
        <w:rPr>
          <w:rFonts w:ascii="Times New Roman" w:hAnsi="Times New Roman" w:eastAsia="Times New Roman" w:cs="Times New Roman"/>
        </w:rPr>
        <w:t>Anak kembar yang lahir dahulu mempunyai tanda kirmizi, yaitu benang kirmizi yang menandai anak sulung. Anak kembar yang lahir dahulu itu ialah Zarah, dan yang lahir kemudian ialah Pharez.</w:t>
      </w:r>
    </w:p>
    <w:p>
      <w:pPr>
        <w:pStyle w:val="ArticleScripture"/>
        <w:jc w:val="left"/>
      </w:pPr>
      <w:r>
        <w:rPr>
          <w:rFonts w:ascii="Times New Roman" w:hAnsi="Times New Roman" w:eastAsia="Times New Roman" w:cs="Times New Roman"/>
        </w:rPr>
        <w:t>Na ka tlaa, mo nakong ya go belega ga gagwe, bonang, go ne go le bana ba babedi mo popelong ya gagwe. Mme ga diragala, fa a ntse a belega, mongwe a ntshetsa letsogo la gagwe kwa ntle; mme mmasisi a le tsaya a bo a bofelela thale e khibidu mo letsogong la gagwe, a re, Yo ke ene yo o tswileng pele. Mme ga diragala, ya re a busetsa letsogo la gagwe morago, bonang, morwarraagwe a tswa; mme a re, O phunyeleditse jang? Go phunya mo go nne mo go wena; jalo leina la gagwe la bidiwa Peretse. Mme morago ga moo ga tswa morwarraagwe, yo o neng a na le thale e khibidu mo letsogong la gagwe; mme leina la gagwe la bidiwa Sera. Genesise 38:27–30.</w:t>
      </w:r>
    </w:p>
    <w:p>
      <w:pPr>
        <w:pStyle w:val="ArticleBody"/>
        <w:jc w:val="left"/>
      </w:pPr>
      <w:r>
        <w:rPr>
          <w:rFonts w:ascii="Times New Roman" w:hAnsi="Times New Roman" w:eastAsia="Times New Roman" w:cs="Times New Roman"/>
        </w:rPr>
        <w:t>Zarah bermaksud cahaya yang terbit, dan Pharez bermaksud menerobos keluar. Apabila si kembar Pharez melihat cahaya yang sedang terbit daripada tanda benang kirmizi pada tangan saudara kembarnya, Zarah, dia “menerobos keluar,” atau keluar dari Babilon. Pengenalan Zarah terhadap cahaya yang terbit daripada benang kirmizi itu menandakan penundukan si kembar yang lahir kemudian kepada si kembar yang lahir terlebih dahulu.</w:t>
      </w:r>
    </w:p>
    <w:p>
      <w:pPr>
        <w:pStyle w:val="ArticleScripture"/>
        <w:jc w:val="left"/>
      </w:pPr>
      <w:r>
        <w:rPr>
          <w:rFonts w:ascii="Times New Roman" w:hAnsi="Times New Roman" w:eastAsia="Times New Roman" w:cs="Times New Roman"/>
        </w:rPr>
        <w:t>Маргааш тэд зүүнээс, баруунаас, хойноос, өмнөөс ирж, Бурханы хаанчлалд заларч суух болно. Мөн болгоогтун, сүүлд буй зарим нь эхэнд байх бөгөөд, эхэнд буй зарим нь сүүлд байх болно. Лук 13:29, 30.</w:t>
      </w:r>
    </w:p>
    <w:p>
      <w:pPr>
        <w:pStyle w:val="ArticleBody"/>
        <w:jc w:val="left"/>
      </w:pPr>
      <w:r>
        <w:rPr>
          <w:rFonts w:ascii="Times New Roman" w:hAnsi="Times New Roman" w:eastAsia="Times New Roman" w:cs="Times New Roman"/>
        </w:rPr>
        <w:t>Ri khriat ba-ïaid jong ki hynñiew thmaw pyrthei ba-rieh ka pynithuh ïa lai tylli ki dak-marg. Ka dak-marg kaba nyngkong bad kaba khatduh ki long ki jingsngewduh jingkyrmen. Ka por hapdeng ka jingsngewduh jingkyrmen kaba nyngkong bad ka khubor jong ka Midnight Cry ka long ka por jingïai-ap. Naduh ka Midnight Cry, kaba dei ka dak-marg kaba ar, ka por ka long ka por ka jingïada. Kata ka por kaba dei ka por ka jingïada ka kut ha ka jingsngewduh jingkyrmen kaba khatduh.</w:t>
      </w:r>
    </w:p>
    <w:p>
      <w:pPr>
        <w:pStyle w:val="ArticleBody"/>
        <w:jc w:val="left"/>
      </w:pPr>
      <w:r>
        <w:rPr>
          <w:rFonts w:ascii="Times New Roman" w:hAnsi="Times New Roman" w:eastAsia="Times New Roman" w:cs="Times New Roman"/>
        </w:rPr>
        <w:t>Historia ya sephiri ya ngurumo saba hutambulisha alama tatu za njia. Alama ya kwanza na ya mwisho ya njia ni kufunguliwa kwa makaburi wakati wa tetemeko la nchi. Kipindi kilicho kati ya kufunguliwa kwa kaburi la kwanza na ujumbe wa Kilio cha Usiku wa Manane ni wakati wa kukawia. Tangu Kilio cha Usiku wa Manane, ambacho ni alama ya pili ya njia, kipindi cha wakati ni wakati wa kutiwa muhuri. Kipindi hicho, ambacho ni wakati wa kutiwa muhuri, huisha wakati wa kufunguliwa kwa kaburi la mwisho.</w:t>
      </w:r>
    </w:p>
    <w:p>
      <w:pPr>
        <w:pStyle w:val="ArticleBody"/>
        <w:jc w:val="left"/>
      </w:pPr>
      <w:r>
        <w:rPr>
          <w:rFonts w:ascii="Times New Roman" w:hAnsi="Times New Roman" w:eastAsia="Times New Roman" w:cs="Times New Roman"/>
        </w:rPr>
        <w:t>Piri inkhokheli ezimbili zezigaba ezintathu zomlando ofihliweyo wezidumo eziyisikhombisa nazo zafakazelwa ngokufa nokuvuka kukaKristu. Ukuvulwa kokuqala kwethuna kwafanekiselwa ngokubhapathizwa kukaKristu ethuneni lamanzi, ithuna lokugcina kwaba yisiphambano. Phakathi kokubhapathizwa kukaKristu nesiphambano, uKristu wamemezela umlayezo waKhe, okwakuwumfanekiso weMidnight Cry. Wakufeza lokho kumemezela ngezinsuku eziyinkulungwane namakhulu amabili namashumi ayisithupha. Emva kwesiphambano, ebuntwini babafundi baKhe, umlayezo weMidnight Cry waphindwa ngezinsuku eziyinkulungwane namakhulu amabili namashumi ayisithupha kwaze kwaba sekufeni kukaStefanu.</w:t>
      </w:r>
    </w:p>
    <w:p>
      <w:pPr>
        <w:pStyle w:val="ArticleBody"/>
        <w:jc w:val="left"/>
      </w:pPr>
      <w:r>
        <w:rPr>
          <w:rFonts w:ascii="Times New Roman" w:hAnsi="Times New Roman" w:eastAsia="Times New Roman" w:cs="Times New Roman"/>
        </w:rPr>
        <w:t>Saksi kedua dalam Wahyu sebelas telah diperlengkapi dengan kuasa untuk menyampaikan pekabaran Seruan Tengah Malam selama seribu dua ratus enam puluh hari. Kemudian mereka dibunuh, dan dibaringkan di jalan-jalan selama seribu dua ratus enam puluh hari, sampai mereka dihidupkan kembali, dan diperlengkapi dengan kuasa.</w:t>
      </w:r>
    </w:p>
    <w:p>
      <w:pPr>
        <w:pStyle w:val="ArticleBody"/>
        <w:jc w:val="left"/>
      </w:pPr>
      <w:r>
        <w:rPr>
          <w:rFonts w:ascii="Myanmar Text" w:hAnsi="Myanmar Text" w:eastAsia="Myanmar Text" w:cs="Myanmar Text"/>
        </w:rPr>
        <w:t>လောက်လာမည့်</w:t>
      </w:r>
      <w:r>
        <w:rPr>
          <w:rFonts w:ascii="Times New Roman" w:hAnsi="Times New Roman" w:eastAsia="Times New Roman" w:cs="Times New Roman"/>
        </w:rPr>
        <w:t xml:space="preserve"> </w:t>
      </w:r>
      <w:r>
        <w:rPr>
          <w:rFonts w:ascii="Myanmar Text" w:hAnsi="Myanmar Text" w:eastAsia="Myanmar Text" w:cs="Myanmar Text"/>
        </w:rPr>
        <w:t>ဆောင်းပါးတွင်</w:t>
      </w:r>
      <w:r>
        <w:rPr>
          <w:rFonts w:ascii="Times New Roman" w:hAnsi="Times New Roman" w:eastAsia="Times New Roman" w:cs="Times New Roman"/>
        </w:rPr>
        <w:t xml:space="preserve"> </w:t>
      </w:r>
      <w:r>
        <w:rPr>
          <w:rFonts w:ascii="Myanmar Text" w:hAnsi="Myanmar Text" w:eastAsia="Myanmar Text" w:cs="Myanmar Text"/>
        </w:rPr>
        <w:t>ဤသမ္မာတရားများကို</w:t>
      </w:r>
      <w:r>
        <w:rPr>
          <w:rFonts w:ascii="Times New Roman" w:hAnsi="Times New Roman" w:eastAsia="Times New Roman" w:cs="Times New Roman"/>
        </w:rPr>
        <w:t xml:space="preserve"> </w:t>
      </w:r>
      <w:r>
        <w:rPr>
          <w:rFonts w:ascii="Myanmar Text" w:hAnsi="Myanmar Text" w:eastAsia="Myanmar Text" w:cs="Myanmar Text"/>
        </w:rPr>
        <w:t>ဆက်လက်</w:t>
      </w:r>
      <w:r>
        <w:rPr>
          <w:rFonts w:ascii="Times New Roman" w:hAnsi="Times New Roman" w:eastAsia="Times New Roman" w:cs="Times New Roman"/>
        </w:rPr>
        <w:t xml:space="preserve"> </w:t>
      </w:r>
      <w:r>
        <w:rPr>
          <w:rFonts w:ascii="Myanmar Text" w:hAnsi="Myanmar Text" w:eastAsia="Myanmar Text" w:cs="Myanmar Text"/>
        </w:rPr>
        <w:t>လေ့လာသွားမည်ဖြစ်သည်။</w:t>
      </w:r>
    </w:p>
    <w:p>
      <w:pPr>
        <w:pStyle w:val="ArticleScripture"/>
        <w:jc w:val="left"/>
      </w:pPr>
      <w:r>
        <w:rPr>
          <w:rFonts w:ascii="Times New Roman" w:hAnsi="Times New Roman" w:eastAsia="Times New Roman" w:cs="Times New Roman"/>
        </w:rPr>
        <w:t>“Ka da don na gaskiya na rai zuwa ga Allah ba; ka da numfashin rai na Allah ya rayar da rai zuwa rai na ruhaniya ba; ka da waɗanda suke furta gaskiya su motsu ta wurin ƙa’idar da aka haifa daga sama ba, to, ba a haife su daga zuriyar nan marar ruɓewa wadda take raye kuma take dawwama har abada ba. Ka da sun dogara ga adalcin Kristi a matsayin kaɗai tabbacin tsaronsu; ka da su kwaikwayi halinsa, su yi aiki cikin ruhinsa, tsirara ne suke, ba su sa rigar adalcinsa ba. Sau da yawa ana ɗaukar matattu a matsayin masu rai; gama waɗanda suke aikata abin da suke kira ceto bisa ga nasu tunani, ba Allah ne yake aiki a cikinsu ba, yana sa su yi nufi kuma su aikata bisa ga yardarsa mai kyau.</w:t>
      </w:r>
    </w:p>
    <w:p>
      <w:pPr>
        <w:pStyle w:val="ArticleScripture"/>
        <w:jc w:val="left"/>
      </w:pPr>
      <w:r>
        <w:rPr>
          <w:rFonts w:ascii="Times New Roman" w:hAnsi="Times New Roman" w:eastAsia="Times New Roman" w:cs="Times New Roman"/>
        </w:rPr>
        <w:t>“Klas ena i em i gat gutpela mak long ples daun i pulap long ol bun i drai em Esekel i lukim long visen.” Review and Herald, January 17, 1893.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 Kugurhalar ga Jesu Kreste - Nomoro Ya Lesometlhano</dc:title>
  <dc:subject>Meterai Ketujuh dan Pembukaan Kebenaran Nubuatan</dc:subject>
  <dc:creator>Jeff Pippenger</dc:creator>
  <cp:keywords/>
  <dc:description>Generated by ArticleDigger from revelation\15_revelation.json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