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Kebenaran itu Apakah? - Nomor Tiga</w:t>
      </w:r>
    </w:p>
    <w:p>
      <w:pPr>
        <w:pStyle w:val="ArticleSubtitle"/>
        <w:jc w:val="left"/>
      </w:pPr>
      <w:r>
        <w:rPr>
          <w:rFonts w:ascii="Arial" w:hAnsi="Arial" w:eastAsia="Arial" w:cs="Arial"/>
        </w:rPr>
        <w:t>Роҳ ба сӯи Амвоҷ</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2023-09-07</w:t>
      </w:r>
    </w:p>
    <w:p>
      <w:pPr>
        <w:pStyle w:val="ArticleBody"/>
        <w:jc w:val="left"/>
      </w:pPr>
      <w:r>
        <w:rPr>
          <w:rFonts w:ascii="Times New Roman" w:hAnsi="Times New Roman" w:eastAsia="Times New Roman" w:cs="Times New Roman"/>
        </w:rPr>
        <w:t>Dalam Injil Yohanes, segera setelah Perjamuan Terakhir sampai Yesus pergi ke Taman Getsemani, terdapat suatu narasi yang panjang dari pasal empat belas hingga akhir pasal tujuh belas. Saya bermaksud membahas pasal-pasal ini dalam artikel berikutnya. Artikel ini merupakan landasan untuk membangun pemahaman atas pasal-pasal tersebut. Ditinjau dari garis reformasi sejarah Kristus, dialog antara Kristus dan murid-murid-Nya dalam pasal-pasal itu terjadi tepat sesudah masuknya yang penuh kemenangan dan tepat sebelum salib. Yesus memasuki Yerusalem, kemudian mengadakan perjamuan terakhir-Nya dengan para murid, lalu narasi itu berlangsung dan sesudah itu Ia pergi ke Getsemani, dan pada tengah malam di hari yang sama Ia ditangkap, dan proses tujuh langkah yang menuju penyaliban pun dimulai. Secara profetis, Ia dan para murid berada tepat sesudah pertemuan perkemahan Exeter dan tepat sebelum Kekecewaan Besar, dalam suatu sejarah yang dilambangkan oleh pergerakan bulan ketujuh. Dalam narasi yang dimulai segera setelah Perjamuan Terakhir, hal pertama yang Yesus katakan adalah:</w:t>
      </w:r>
    </w:p>
    <w:p>
      <w:pPr>
        <w:pStyle w:val="ArticleScripture"/>
        <w:jc w:val="left"/>
      </w:pPr>
      <w:r>
        <w:rPr>
          <w:rFonts w:ascii="Times New Roman" w:hAnsi="Times New Roman" w:eastAsia="Times New Roman" w:cs="Times New Roman"/>
        </w:rPr>
        <w:t>“Janganlah gelisah hatimu; percayalah kepada Allah, percayalah juga kepada-Ku.” Yohanes 14:1.</w:t>
      </w:r>
    </w:p>
    <w:p>
      <w:pPr>
        <w:pStyle w:val="ArticleBody"/>
        <w:jc w:val="left"/>
      </w:pPr>
      <w:r>
        <w:rPr>
          <w:rFonts w:ascii="Times New Roman" w:hAnsi="Times New Roman" w:eastAsia="Times New Roman" w:cs="Times New Roman"/>
        </w:rPr>
        <w:t>Kumanya kuti kukhumudwitsidwa kwakukulu kunali patsogolo pa maola ochepa chabe, Yesu anafuna kulimbitsa ophunzira Ake pa vuto limene linali likubwera. Mzere wobisika wa ulosi mkati mwa zizindikiro zinayi zimene zimapanga zochitika zoyimiridwa monga mabingu asanu ndi awiri ndiwo mbiri imene masitepe atatuwa a nkhani mu Uthenga Wabwino wa Yohane amachitikira. Mzere wobisika umenewo, mkati mwa mabingu asanu ndi awiri, ukuyimira mbiri kuyambira pa kukhumudwitsidwa koyamba kufika pa kukhumudwitsidwa komaliza.</w:t>
      </w:r>
    </w:p>
    <w:p>
      <w:pPr>
        <w:pStyle w:val="ArticleBody"/>
        <w:jc w:val="left"/>
      </w:pPr>
      <w:r>
        <w:rPr>
          <w:rFonts w:ascii="Times New Roman" w:hAnsi="Times New Roman" w:eastAsia="Times New Roman" w:cs="Times New Roman"/>
        </w:rPr>
        <w:t>Hukado togitki Jesus kaingaran do sidia okuo om “opoinsanou” i kokuludan diolo “nabalisa,” Judas Iskariot nohongon okuo id sapau do miontok koumoi id Sanhedrin omboh tulu no i pinakasoboboros. Tuminangkay iiho id sapau do minonduod koiso do katolu diti, inoposimpid no i tempoh do kasianan diiho.</w:t>
      </w:r>
    </w:p>
    <w:p>
      <w:pPr>
        <w:pStyle w:val="ArticleBody"/>
        <w:jc w:val="left"/>
      </w:pPr>
      <w:r>
        <w:rPr>
          <w:rFonts w:ascii="Times New Roman" w:hAnsi="Times New Roman" w:eastAsia="Times New Roman" w:cs="Times New Roman"/>
        </w:rPr>
        <w:t>Dalam konteks garis tersembunyi di dalam lambang tujuh guruh, kemasukan Kristus secara kemenangan melambangkan Seruan Tengah Malam, di mana dua golongan penyembah dinyatakan. Tanda perjalanan huruf tengah dalam bahasa Ibrani yang digunakan untuk membentuk perkataan Ibrani “kebenaran,” ialah huruf ketiga belas dalam abjad Ibrani. Tiga belas melambangkan pemberontakan, dan sebagai tanda perjalanan nubuatan, ia melambangkan Seruan Tengah Malam, di mana anak-anak dara yang bodoh mewakili suatu pernyataan pemberontakan, sebagaimana Yudas juga melakukannya pada tanda perjalanan kemasukan secara kemenangan.</w:t>
      </w:r>
    </w:p>
    <w:p>
      <w:pPr>
        <w:pStyle w:val="ArticleScripture"/>
        <w:jc w:val="left"/>
      </w:pPr>
      <w:r>
        <w:rPr>
          <w:rFonts w:ascii="Times New Roman" w:hAnsi="Times New Roman" w:eastAsia="Times New Roman" w:cs="Times New Roman"/>
        </w:rPr>
        <w:t>“Di antara gandum telah ada dan akan selalu ada lalang, gadis-gadis yang bodoh bersama yang bijaksana, mereka yang tidak mempunyai minyak dalam buli-buli mereka bersama pelita mereka. Ada seorang Yudas yang tamak dalam gereja yang dibentuk Kristus di bumi, dan akan ada Yudas-Yudas dalam gereja pada setiap tahap sejarahnya.” Signs of the Times, 23 Oktober 1879.</w:t>
      </w:r>
    </w:p>
    <w:p>
      <w:pPr>
        <w:pStyle w:val="ArticleBody"/>
        <w:jc w:val="left"/>
      </w:pPr>
      <w:r>
        <w:rPr>
          <w:rFonts w:ascii="Times New Roman" w:hAnsi="Times New Roman" w:eastAsia="Times New Roman" w:cs="Times New Roman"/>
        </w:rPr>
        <w:t>Selah Yudas mengembalikan uang itu, mengakui pengkhianatannya kepada Kayafas dan kemudian kepada Kristus, ia lalu pergi menggantung dirinya. Ketika ia meninggalkan balai pengadilan itu, ia berseru dengan kata-kata yang sama persis yang melambangkan dilema para gadis bodoh ketika mereka menyadari bahwa mereka tidak memperoleh minyak itu.</w:t>
      </w:r>
    </w:p>
    <w:p>
      <w:pPr>
        <w:pStyle w:val="ArticleScripture"/>
        <w:jc w:val="left"/>
      </w:pPr>
      <w:r>
        <w:rPr>
          <w:rFonts w:ascii="Times New Roman" w:hAnsi="Times New Roman" w:eastAsia="Times New Roman" w:cs="Times New Roman"/>
        </w:rPr>
        <w:t>“Yudas nampak bahawa rayuannya sia-sia, lalu dia bergegas keluar dari balai itu sambil berseru, Sudah terlambat! Sudah terlambat! Dia merasakan bahawa dia tidak dapat hidup untuk menyaksikan Yesus disalibkan, dan dalam keputusasaan dia pergi lalu menggantung dirinya.” Desire of Ages, 722.</w:t>
      </w:r>
    </w:p>
    <w:p>
      <w:pPr>
        <w:pStyle w:val="ArticleBody"/>
        <w:jc w:val="left"/>
      </w:pPr>
      <w:r>
        <w:rPr>
          <w:rFonts w:ascii="Times New Roman" w:hAnsi="Times New Roman" w:eastAsia="Times New Roman" w:cs="Times New Roman"/>
        </w:rPr>
        <w:t>Yudas menggambarkan suatu pekabaran Seruan Tengah Malam yang palsu sebagai “bergegas keluar dari balai sambil berseru, Sudah terlambat! Sudah terlambat!” Pekabaran itu senantiasa memanifestasikan dua golongan penyembah, dan sebagaimana dalam sejarah Millerit, para dara yang bodoh tetap melanjutkan setelah pekabaran Seruan Tengah Malam yang sejati tiba, dengan suatu pekabaran yang palsu. Dengan demikian, dalam sejarah Millerit kita memiliki pergerakan yang memilih William Miller sebagai pemimpinnya, sementara menolak pekabaran malaikat ketiga dan menentang kawanan kecil yang mengikuti Kristus masuk ke dalam Ruang Mahakudus.</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အကျွန်ုပ်၏စိတ်သည်</w:t>
      </w:r>
      <w:r>
        <w:rPr>
          <w:rFonts w:ascii="Times New Roman" w:hAnsi="Times New Roman" w:eastAsia="Times New Roman" w:cs="Times New Roman"/>
        </w:rPr>
        <w:t xml:space="preserve"> </w:t>
      </w:r>
      <w:r>
        <w:rPr>
          <w:rFonts w:ascii="Myanmar Text" w:hAnsi="Myanmar Text" w:eastAsia="Myanmar Text" w:cs="Myanmar Text"/>
        </w:rPr>
        <w:t>အနာဂတ်ကာလသို့</w:t>
      </w:r>
      <w:r>
        <w:rPr>
          <w:rFonts w:ascii="Times New Roman" w:hAnsi="Times New Roman" w:eastAsia="Times New Roman" w:cs="Times New Roman"/>
        </w:rPr>
        <w:t xml:space="preserve"> </w:t>
      </w:r>
      <w:r>
        <w:rPr>
          <w:rFonts w:ascii="Myanmar Text" w:hAnsi="Myanmar Text" w:eastAsia="Myanmar Text" w:cs="Myanmar Text"/>
        </w:rPr>
        <w:t>ယူဆောင်ခြင်းကိုခံရ၏။</w:t>
      </w:r>
      <w:r>
        <w:rPr>
          <w:rFonts w:ascii="Times New Roman" w:hAnsi="Times New Roman" w:eastAsia="Times New Roman" w:cs="Times New Roman"/>
        </w:rPr>
        <w:t xml:space="preserve"> </w:t>
      </w:r>
      <w:r>
        <w:rPr>
          <w:rFonts w:ascii="Myanmar Text" w:hAnsi="Myanmar Text" w:eastAsia="Myanmar Text" w:cs="Myanmar Text"/>
        </w:rPr>
        <w:t>အချက်ပေးသံကို</w:t>
      </w:r>
      <w:r>
        <w:rPr>
          <w:rFonts w:ascii="Times New Roman" w:hAnsi="Times New Roman" w:eastAsia="Times New Roman" w:cs="Times New Roman"/>
        </w:rPr>
        <w:t xml:space="preserve"> </w:t>
      </w:r>
      <w:r>
        <w:rPr>
          <w:rFonts w:ascii="Myanmar Text" w:hAnsi="Myanmar Text" w:eastAsia="Myanmar Text" w:cs="Myanmar Text"/>
        </w:rPr>
        <w:t>ပေးအပ်မည့်အချိန်၌</w:t>
      </w:r>
      <w:r>
        <w:rPr>
          <w:rFonts w:ascii="Times New Roman" w:hAnsi="Times New Roman" w:eastAsia="Times New Roman" w:cs="Times New Roman"/>
        </w:rPr>
        <w:t>—‘</w:t>
      </w:r>
      <w:r>
        <w:rPr>
          <w:rFonts w:ascii="Myanmar Text" w:hAnsi="Myanmar Text" w:eastAsia="Myanmar Text" w:cs="Myanmar Text"/>
        </w:rPr>
        <w:t>ကြည့်ရှုလော့၊</w:t>
      </w:r>
      <w:r>
        <w:rPr>
          <w:rFonts w:ascii="Times New Roman" w:hAnsi="Times New Roman" w:eastAsia="Times New Roman" w:cs="Times New Roman"/>
        </w:rPr>
        <w:t xml:space="preserve"> </w:t>
      </w:r>
      <w:r>
        <w:rPr>
          <w:rFonts w:ascii="Myanmar Text" w:hAnsi="Myanmar Text" w:eastAsia="Myanmar Text" w:cs="Myanmar Text"/>
        </w:rPr>
        <w:t>မင်္ဂလာဆောင်သတို့သားလာပြီ</w:t>
      </w:r>
      <w:r>
        <w:rPr>
          <w:rFonts w:ascii="Times New Roman" w:hAnsi="Times New Roman" w:eastAsia="Times New Roman" w:cs="Times New Roman"/>
        </w:rPr>
        <w:t xml:space="preserve">; </w:t>
      </w:r>
      <w:r>
        <w:rPr>
          <w:rFonts w:ascii="Myanmar Text" w:hAnsi="Myanmar Text" w:eastAsia="Myanmar Text" w:cs="Myanmar Text"/>
        </w:rPr>
        <w:t>သူ့ကို</w:t>
      </w:r>
      <w:r>
        <w:rPr>
          <w:rFonts w:ascii="Times New Roman" w:hAnsi="Times New Roman" w:eastAsia="Times New Roman" w:cs="Times New Roman"/>
        </w:rPr>
        <w:t xml:space="preserve"> </w:t>
      </w:r>
      <w:r>
        <w:rPr>
          <w:rFonts w:ascii="Myanmar Text" w:hAnsi="Myanmar Text" w:eastAsia="Myanmar Text" w:cs="Myanmar Text"/>
        </w:rPr>
        <w:t>ကြိုဆိုရန်</w:t>
      </w:r>
      <w:r>
        <w:rPr>
          <w:rFonts w:ascii="Times New Roman" w:hAnsi="Times New Roman" w:eastAsia="Times New Roman" w:cs="Times New Roman"/>
        </w:rPr>
        <w:t xml:space="preserve"> </w:t>
      </w:r>
      <w:r>
        <w:rPr>
          <w:rFonts w:ascii="Myanmar Text" w:hAnsi="Myanmar Text" w:eastAsia="Myanmar Text" w:cs="Myanmar Text"/>
        </w:rPr>
        <w:t>ထွက်ကြလော့</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ဖြစ်လိမ့်မည်။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အချို့သောသူတို့သည်</w:t>
      </w:r>
      <w:r>
        <w:rPr>
          <w:rFonts w:ascii="Times New Roman" w:hAnsi="Times New Roman" w:eastAsia="Times New Roman" w:cs="Times New Roman"/>
        </w:rPr>
        <w:t xml:space="preserve"> </w:t>
      </w:r>
      <w:r>
        <w:rPr>
          <w:rFonts w:ascii="Myanmar Text" w:hAnsi="Myanmar Text" w:eastAsia="Myanmar Text" w:cs="Myanmar Text"/>
        </w:rPr>
        <w:t>မိမိတို့၏မီးအိမ်များကို</w:t>
      </w:r>
      <w:r>
        <w:rPr>
          <w:rFonts w:ascii="Times New Roman" w:hAnsi="Times New Roman" w:eastAsia="Times New Roman" w:cs="Times New Roman"/>
        </w:rPr>
        <w:t xml:space="preserve"> </w:t>
      </w:r>
      <w:r>
        <w:rPr>
          <w:rFonts w:ascii="Myanmar Text" w:hAnsi="Myanmar Text" w:eastAsia="Myanmar Text" w:cs="Myanmar Text"/>
        </w:rPr>
        <w:t>ပြန်လည်ဖြည့်တင်းရန်</w:t>
      </w:r>
      <w:r>
        <w:rPr>
          <w:rFonts w:ascii="Times New Roman" w:hAnsi="Times New Roman" w:eastAsia="Times New Roman" w:cs="Times New Roman"/>
        </w:rPr>
        <w:t xml:space="preserve"> </w:t>
      </w:r>
      <w:r>
        <w:rPr>
          <w:rFonts w:ascii="Myanmar Text" w:hAnsi="Myanmar Text" w:eastAsia="Myanmar Text" w:cs="Myanmar Text"/>
        </w:rPr>
        <w:t>ဆီကို</w:t>
      </w:r>
      <w:r>
        <w:rPr>
          <w:rFonts w:ascii="Times New Roman" w:hAnsi="Times New Roman" w:eastAsia="Times New Roman" w:cs="Times New Roman"/>
        </w:rPr>
        <w:t xml:space="preserve"> </w:t>
      </w:r>
      <w:r>
        <w:rPr>
          <w:rFonts w:ascii="Myanmar Text" w:hAnsi="Myanmar Text" w:eastAsia="Myanmar Text" w:cs="Myanmar Text"/>
        </w:rPr>
        <w:t>ရယူရန်</w:t>
      </w:r>
      <w:r>
        <w:rPr>
          <w:rFonts w:ascii="Times New Roman" w:hAnsi="Times New Roman" w:eastAsia="Times New Roman" w:cs="Times New Roman"/>
        </w:rPr>
        <w:t xml:space="preserve"> </w:t>
      </w:r>
      <w:r>
        <w:rPr>
          <w:rFonts w:ascii="Myanmar Text" w:hAnsi="Myanmar Text" w:eastAsia="Myanmar Text" w:cs="Myanmar Text"/>
        </w:rPr>
        <w:t>နှောင့်နှေးခဲ့ကြလိမ့်မည်။</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နောက်ကျလွန်းသည့်အခါမှသာ</w:t>
      </w:r>
      <w:r>
        <w:rPr>
          <w:rFonts w:ascii="Times New Roman" w:hAnsi="Times New Roman" w:eastAsia="Times New Roman" w:cs="Times New Roman"/>
        </w:rPr>
        <w:t xml:space="preserve"> </w:t>
      </w:r>
      <w:r>
        <w:rPr>
          <w:rFonts w:ascii="Myanmar Text" w:hAnsi="Myanmar Text" w:eastAsia="Myanmar Text" w:cs="Myanmar Text"/>
        </w:rPr>
        <w:t>ဆီဖြင့်</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စရိုက်လက္ခဏာသည်</w:t>
      </w:r>
      <w:r>
        <w:rPr>
          <w:rFonts w:ascii="Times New Roman" w:hAnsi="Times New Roman" w:eastAsia="Times New Roman" w:cs="Times New Roman"/>
        </w:rPr>
        <w:t xml:space="preserve"> </w:t>
      </w:r>
      <w:r>
        <w:rPr>
          <w:rFonts w:ascii="Myanmar Text" w:hAnsi="Myanmar Text" w:eastAsia="Myanmar Text" w:cs="Myanmar Text"/>
        </w:rPr>
        <w:t>တစ်ဦးမှတစ်ဦးသို့</w:t>
      </w:r>
      <w:r>
        <w:rPr>
          <w:rFonts w:ascii="Times New Roman" w:hAnsi="Times New Roman" w:eastAsia="Times New Roman" w:cs="Times New Roman"/>
        </w:rPr>
        <w:t xml:space="preserve"> </w:t>
      </w:r>
      <w:r>
        <w:rPr>
          <w:rFonts w:ascii="Myanmar Text" w:hAnsi="Myanmar Text" w:eastAsia="Myanmar Text" w:cs="Myanmar Text"/>
        </w:rPr>
        <w:t>လွှဲပြောင်းပေး၍မရကြောင်းကို</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တွေ့ရှိကြလိမ့်မည်။</w:t>
      </w:r>
      <w:r>
        <w:rPr>
          <w:rFonts w:ascii="Times New Roman" w:hAnsi="Times New Roman" w:eastAsia="Times New Roman" w:cs="Times New Roman"/>
        </w:rPr>
        <w:t>” Review and Herald, February 11, 1896.</w:t>
      </w:r>
    </w:p>
    <w:p>
      <w:pPr>
        <w:pStyle w:val="ArticleBody"/>
        <w:jc w:val="left"/>
      </w:pPr>
      <w:r>
        <w:rPr>
          <w:rFonts w:ascii="Times New Roman" w:hAnsi="Times New Roman" w:eastAsia="Times New Roman" w:cs="Times New Roman"/>
        </w:rPr>
        <w:t>Tsela ya boraro ya sesupo ya histori ye e utilwego e emela kahlolo, gomme e emelwa ke tlhaka ya mafelelo ya alfabete ya Seheberu. Tlhaka yeo ke “Tav,” gomme ge e ngwadilwe e bopilwe bjalo ka sefapano. Sefapano se emela kahlolo.</w:t>
      </w:r>
    </w:p>
    <w:p>
      <w:pPr>
        <w:pStyle w:val="ArticleBody"/>
        <w:jc w:val="left"/>
      </w:pPr>
      <w:r>
        <w:rPr>
          <w:rFonts w:ascii="Times New Roman" w:hAnsi="Times New Roman" w:eastAsia="Times New Roman" w:cs="Times New Roman"/>
        </w:rPr>
        <w:t>Namtetepin a nteyawa a ɔdii kan wɔ Millerite abakɔsɛm mu no so kosi Midnight Cry no, anaasɛ fi alpha nkrataa no so kosi nkrataa a ɛto so dumiɛnsa no, hɔ wɔ waymark bi a egyina hɔ ma bere bi, na wɔahu no sɛ ɛno ne bere a wɔtwɛn no wɔ mmɛbuo a ɛfa mmabaawa du no ho no mu, bere a wɔtwɛn a ɛwɔ Habakkuk ti 2 mu nso. Fi Midnight Cry no, anaasɛ atuatew nkrataa a ɛto so dumiɛnsa no so kosi anidasoɔhwere kɛse no, alfabet no nkrataa a etwa to no, hɔ nso wɔ bere bi a wɔfrɛɛ no “bosome a ɛto so ason no asɛnkakra no,” ɛnyɛ efisɛ ɛtenaa ason, na mmom efisɛ Midnight Cry no nkra no kyerɛɛ sɛ Kristo bɛba Yudafo kalenda no bosome a ɛto so ason no da a ɛto so du no, a na ɛyɛ Mpata Da no.</w:t>
      </w:r>
    </w:p>
    <w:p>
      <w:pPr>
        <w:pStyle w:val="ArticleBody"/>
        <w:jc w:val="left"/>
      </w:pPr>
      <w:r>
        <w:rPr>
          <w:rFonts w:ascii="Times New Roman" w:hAnsi="Times New Roman" w:eastAsia="Times New Roman" w:cs="Times New Roman"/>
        </w:rPr>
        <w:t>A wɔde si ano ma asɛm a ɛwɔ Yohane ti du-nan kosi ti du-wɔtwe no fi bere bi mu a ɛyɛ mfatoho ma bosome a ɛto so ason no nkanyan wɔ Millerfo abakɔsɛm mu. Asɛnnua a ɛda Yohane Asɛmpa no mu ne sɛ ɛbɛsiesie asuafo no ama asɛnnennen a ɛreba a ɛfa asɛndua no ho (nkyerɛwde “Tav”). Enti Kristo kyerɛ sɛ, efi Ne wu so kosi sɛ Ɔbɛforo akɔ N’Agya nkyɛn na Wasan aba no, saa bere no bɛyɛ awerɛhow, anidaso a enni pintinn, ne abasamtu bere ama N’asuafo no. Sɛnea nkɔmhyɛ mu su ahorow a ɛfa abasamtu a edi kan nyinaa ho no, a egyina adanse a ɛwɔ nsiesiei nkyerɛwtohɔ ahorow no mu no, saa abasamtu no fa tebea bi ho a ɛnam nokwasɛm titiriw bi a wɔayi no adi dada no a wobu ani gu so nti. Kristo wu wɔ asɛndua so no yɛ na ɛda so ara yɛ nokwasɛm titiriw, na na Waka akyerɛ asuafo no tee sɛ wobebɔ No asɛndua mu na Wanyan afi awufo mu, nanso saa ɔhaw no mu yɛɛ den yiye, ɛbɔɔ wɔn so yiye ara ma wɔn werɛ fii nea anka ɛsɛ sɛ wɔkae no.</w:t>
      </w:r>
    </w:p>
    <w:p>
      <w:pPr>
        <w:pStyle w:val="ArticleScripture"/>
        <w:jc w:val="left"/>
      </w:pPr>
      <w:r>
        <w:rPr>
          <w:rFonts w:ascii="Times New Roman" w:hAnsi="Times New Roman" w:eastAsia="Times New Roman" w:cs="Times New Roman"/>
        </w:rPr>
        <w:t>“Apabila Kristus, Pengharapan Israel, digantung pada salib dan ditinggikan sebagaimana yang telah dikatakan-Nya kepada Nikodemus bahawa Dia akan demikian, harapan para murid pun mati bersama-sama dengan Yesus. Mereka tidak dapat menjelaskan hal itu. Mereka tidak dapat memahami sepenuhnya segala yang telah Kristus beritahukan kepada mereka mengenainya terlebih dahulu.” Faith and Works, 63.</w:t>
      </w:r>
    </w:p>
    <w:p>
      <w:pPr>
        <w:pStyle w:val="ArticleBody"/>
        <w:jc w:val="left"/>
      </w:pPr>
      <w:r>
        <w:rPr>
          <w:rFonts w:ascii="Times New Roman" w:hAnsi="Times New Roman" w:eastAsia="Times New Roman" w:cs="Times New Roman"/>
        </w:rPr>
        <w:t>Sekaning ndabate aho ahor ihikayi hin John adadu nginsə kə, Yesu a manzə mǝn mǝr ngəna kəna kəmdəv kwa ngəna kəv a ɓəla ngəna kənda ta, daga kəmaŋa tǝr tsə Yesu a fǝr luwəna, har ngəna kəv a so ndəma daga a hǝr da Babbana. Aho ahor ihikayi hin John adadu kə, sekaning ndabate aho Kristi a tsəv ndə mǝr ngəna kəna kə, a ma tsə tarrying time. Kə ngəna ahistori, sekaning ndabate aho, ngəna ndzi kə tarrying time, a far dəng nda krizis kə salib. Aho ahor ngəna mu dzəv kəna kə, kə ndə ngəna kəv a ma tsə tarrying time aho anza nda disappointment kə dza, ba ndaŋa far ngəna Great Disappointment kə salib ba.</w:t>
      </w:r>
    </w:p>
    <w:p>
      <w:pPr>
        <w:pStyle w:val="ArticleBody"/>
        <w:jc w:val="left"/>
      </w:pPr>
      <w:r>
        <w:rPr>
          <w:rFonts w:ascii="Times New Roman" w:hAnsi="Times New Roman" w:eastAsia="Times New Roman" w:cs="Times New Roman"/>
        </w:rPr>
        <w:t>Bahifukwa chiyani ndikunena kuti kukhumudwitsidwa komaliza kumene Khristu anali kukonzekeretsa ophunzira Ake, kunali kuimira kukhumudwitsidwa koyamba komwe, mu mzere wa kusintha wa Khristu, kunali imfa ya Lazaro? Funso ili liyenera kuthetsedwa tisanathe kuona nkhani ya m'machaputala anayi a Yohane m’kuwala kumene kumachirikiza choonadi chimene tsopano chikuvumbulutsidwa mogwirizana ndi mbiri yobisika ya mabingu asanu ndi awiri.</w:t>
      </w:r>
    </w:p>
    <w:p>
      <w:pPr>
        <w:pStyle w:val="ArticleBody"/>
        <w:jc w:val="left"/>
      </w:pPr>
      <w:r>
        <w:rPr>
          <w:rFonts w:ascii="Times New Roman" w:hAnsi="Times New Roman" w:eastAsia="Times New Roman" w:cs="Times New Roman"/>
        </w:rPr>
        <w:t>Dalam sejarah Kristus, rentang waktu antara kematian dan kebangkitan Lazarus selaras dengan masa penundaan. Kristus kemudian pergi ke Yerusalem untuk memasuki kota itu dalam kemenangan-Nya. Dalam Yohanes 14, Kristus sedang berbicara kepada murid-murid-Nya pada masa sejarah yang akan menjadi pergerakan bulan ketujuh, yang dimulai ketika masa penundaan telah berakhir dengan tibanya pekabaran Seruan Tengah Malam yang memprakarsai pergerakan bulan ketujuh.</w:t>
      </w:r>
    </w:p>
    <w:p>
      <w:pPr>
        <w:pStyle w:val="ArticleBody"/>
        <w:jc w:val="left"/>
      </w:pPr>
      <w:r>
        <w:rPr>
          <w:rFonts w:ascii="Microsoft YaHei" w:hAnsi="Microsoft YaHei" w:eastAsia="Microsoft YaHei" w:cs="Microsoft YaHei"/>
        </w:rPr>
        <w:t>为了明白希伯来文</w:t>
      </w:r>
      <w:r>
        <w:rPr>
          <w:rFonts w:ascii="Times New Roman" w:hAnsi="Times New Roman" w:eastAsia="Times New Roman" w:cs="Times New Roman"/>
        </w:rPr>
        <w:t>“</w:t>
      </w:r>
      <w:r>
        <w:rPr>
          <w:rFonts w:ascii="Microsoft YaHei" w:hAnsi="Microsoft YaHei" w:eastAsia="Microsoft YaHei" w:cs="Microsoft YaHei"/>
        </w:rPr>
        <w:t>真理</w:t>
      </w:r>
      <w:r>
        <w:rPr>
          <w:rFonts w:ascii="Times New Roman" w:hAnsi="Times New Roman" w:eastAsia="Times New Roman" w:cs="Times New Roman"/>
        </w:rPr>
        <w:t>”</w:t>
      </w:r>
      <w:r>
        <w:rPr>
          <w:rFonts w:ascii="Microsoft YaHei" w:hAnsi="Microsoft YaHei" w:eastAsia="Microsoft YaHei" w:cs="Microsoft YaHei"/>
        </w:rPr>
        <w:t>一词如何证实那段从七雷的象征性历史中被开启之隐藏历史的识别</w:t>
      </w:r>
      <w:r>
        <w:rPr>
          <w:rFonts w:ascii="Times New Roman" w:hAnsi="Times New Roman" w:eastAsia="Times New Roman" w:cs="Times New Roman"/>
        </w:rPr>
        <w:t>,</w:t>
      </w:r>
      <w:r>
        <w:rPr>
          <w:rFonts w:ascii="Microsoft YaHei" w:hAnsi="Microsoft YaHei" w:eastAsia="Microsoft YaHei" w:cs="Microsoft YaHei"/>
        </w:rPr>
        <w:t>就需要对基督当时在</w:t>
      </w:r>
      <w:r>
        <w:rPr>
          <w:rFonts w:ascii="Times New Roman" w:hAnsi="Times New Roman" w:eastAsia="Times New Roman" w:cs="Times New Roman"/>
        </w:rPr>
        <w:t>«</w:t>
      </w:r>
      <w:r>
        <w:rPr>
          <w:rFonts w:ascii="Microsoft YaHei" w:hAnsi="Microsoft YaHei" w:eastAsia="Microsoft YaHei" w:cs="Microsoft YaHei"/>
        </w:rPr>
        <w:t>约翰福音</w:t>
      </w:r>
      <w:r>
        <w:rPr>
          <w:rFonts w:ascii="Times New Roman" w:hAnsi="Times New Roman" w:eastAsia="Times New Roman" w:cs="Times New Roman"/>
        </w:rPr>
        <w:t>»</w:t>
      </w:r>
      <w:r>
        <w:rPr>
          <w:rFonts w:ascii="Microsoft YaHei" w:hAnsi="Microsoft YaHei" w:eastAsia="Microsoft YaHei" w:cs="Microsoft YaHei"/>
        </w:rPr>
        <w:t>第十四章至第十七章赐给门徒的信息作一番细致的分析</w:t>
      </w:r>
      <w:r>
        <w:rPr>
          <w:rFonts w:ascii="Times New Roman" w:hAnsi="Times New Roman" w:eastAsia="Times New Roman" w:cs="Times New Roman"/>
        </w:rPr>
        <w:t>.</w:t>
      </w:r>
      <w:r>
        <w:rPr>
          <w:rFonts w:ascii="Microsoft YaHei" w:hAnsi="Microsoft YaHei" w:eastAsia="Microsoft YaHei" w:cs="Microsoft YaHei"/>
        </w:rPr>
        <w:t>那以大失望的路标来说明第一次失望之路标的用法</w:t>
      </w:r>
      <w:r>
        <w:rPr>
          <w:rFonts w:ascii="Times New Roman" w:hAnsi="Times New Roman" w:eastAsia="Times New Roman" w:cs="Times New Roman"/>
        </w:rPr>
        <w:t>,</w:t>
      </w:r>
      <w:r>
        <w:rPr>
          <w:rFonts w:ascii="Microsoft YaHei" w:hAnsi="Microsoft YaHei" w:eastAsia="Microsoft YaHei" w:cs="Microsoft YaHei"/>
        </w:rPr>
        <w:t>可从门徒往以马忤斯路上的经历中看出来</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Se se fedze vhaswa tshifhinga tsha u lindela kha ḓivhazwakale ya VhaMillerite ndi u lulamiswa ha vhuporofita ho kundelaho ha 1843. Mushumo wa Samuel Snow kha u bveledza mulaedza we wa dzhenisa tshikalo tsha ṅwedzi wa vhusumbe, tshe tsha fhedzisela nga U Kuluvhuluwa Hukulwane, u nga tevhelelwa nga nḓila ya ḓivhazwakale nga u tevhela kukulisele kwa Samuel Snow kha u pfesesa nga zwibveledzwa zwawe zwo gandiswaho na nga maṱalutshedzelo awe a phanḓa ha tshitshavha zwe zwa isa kha muṱangano wa matende wa Exeter. Maambiwa o hevhedzwaho a tsivhudza nga ha iyo mveledzo nga nḓila i sa fani na u tou tevhela mveledzo ya ḓivhazwakale ya mulaedza wa Snow wa u fhedzisela. Mukomana wa musadzi White u ri vhudza uri mulaedza wonoyo wo lemuhiwa musi Murena a tshi bvisa tshanḓa Tshawe kha vhukhakhi ha dzi nomboro kha tshati ya Habakkuk ya 1843.</w:t>
      </w:r>
    </w:p>
    <w:p>
      <w:pPr>
        <w:pStyle w:val="ArticleScripture"/>
        <w:jc w:val="left"/>
      </w:pPr>
      <w:r>
        <w:rPr>
          <w:rFonts w:ascii="Times New Roman" w:hAnsi="Times New Roman" w:eastAsia="Times New Roman" w:cs="Times New Roman"/>
        </w:rPr>
        <w:t>“Ami ngi gis askanu Yàlla ne xolu fees na leen ak mbégte ci yaakaar, di seetaan seen Boroom. Waaye Yàlla dogaloon na ngir nattu leen. Ay loxoom dafa muur ab njuumte ci waññi bi ñu defoon ci waxtuy waxi yonent yi. Ñi doon seetaan seen Boroom gisewuñu njuumte boobu, te góor ñi gëna xam-xam, yi doon weddi waxtu wa, itam mënulñu koo gis. Yàlla dogaloon na ne askanam dafa war a daje ak naqaru yàqu yaakaar. Waxtu wi jaar, te ñi doon xaar seen Musalkat ci mbégte ak yaakaar daldi metti xol te ñàkk doole; waaye ñi bëggul woon feeñug Yeesu, te nangu woon yégle bi ndax ragal rekk, bég nañu ne ñëwul ci waxtu wa ñu ko xaaroon. Seen wooteeg ngëm la xol bañ a jot, te la dund bañ a sellal. Jaarug waxtu woowa xalaat bu baax la woon ngir wone xol yu mel noonu. Ñoom ñooy ñi jëkka dëddu, ba noppi ñaawal te ree ñi nekkoon ci metit ak naqar ndax yaakaar gi yàqu, ñi bëgg dëgg-dëgg feeñug seen Musalkat. Ami ngi gis xel mu rafet wa Yàlla ci nattu askanam ak ci jox leen nattu gu xóot ngir fexe gis ñi nar a gëppiku te dellu gannaaw ci waxtuw nattu.”</w:t>
      </w:r>
    </w:p>
    <w:p>
      <w:pPr>
        <w:pStyle w:val="ArticleScripture"/>
        <w:jc w:val="left"/>
      </w:pPr>
      <w:r>
        <w:rPr>
          <w:rFonts w:ascii="Times New Roman" w:hAnsi="Times New Roman" w:eastAsia="Times New Roman" w:cs="Times New Roman"/>
        </w:rPr>
        <w:t>“Yesu na jeshi lote la mbinguni waliwatazama kwa huruma na upendo wale ambao, kwa matarajio matamu, walikuwa wametamani kwa muda mrefu kumwona Yeye ambaye roho zao zilimpenda. Malaika walikuwa wakielea kuzunguka pande zao, ili kuwategemeza katika saa ya jaribu lao. Wale waliokuwa wamepuuza kuipokea ujumbe wa mbinguni waliachwa gizani, na hasira ya Mungu ikawaka juu yao, kwa sababu hawakutaka kuipokea nuru aliyowapelekea kutoka mbinguni. Wale waaminifu, waliokatishwa tamaa, ambao hawakuweza kuelewa kwa nini Bwana wao hakuja, hawakuachwa gizani. Tena wakaongozwa kwenye Biblia zao kuzichunguza nyakati za unabii. Mkono wa Bwana ukaondolewa kutoka juu ya tarakimu, na kosa likaelezwa. Wakaona kwamba nyakati za unabii zilifikia mwaka wa 1844, na kwamba ushahidi uleule waliokuwa wameutoa kuonyesha kwamba nyakati za unabii zilifungwa mwaka wa 1843, ulithibitisha kwamba zingekoma mwaka wa 1844. Nuru kutoka katika Neno la Mungu ikaangaza juu ya hali yao, nao wakagundua wakati wa kukawia—‘Ijapokawia [maono], ingojee.’ Katika upendo wao kwa kuja kwa Kristo mara moja, walikuwa wamepuuza kukawia kwa maono, ambako kulikusudiwa kuwadhihirisha wale wa kweli wanaongoja. Tena walikuwa na wakati maalumu. Hata hivyo niliona kwamba wengi wao hawakuweza kuinuka juu ya kukatishwa tamaa kwao kukuu ili kuwa na kiwango kile cha bidii na nguvu kilichokuwa kimeitambulisha imani yao mwaka wa 1843.”</w:t>
      </w:r>
    </w:p>
    <w:p>
      <w:pPr>
        <w:pStyle w:val="ArticleScripture"/>
        <w:jc w:val="left"/>
      </w:pPr>
      <w:r>
        <w:rPr>
          <w:rFonts w:ascii="Times New Roman" w:hAnsi="Times New Roman" w:eastAsia="Times New Roman" w:cs="Times New Roman"/>
        </w:rPr>
        <w:t>“Syaitan dan malaikat-malaikatnya telah menang atas mereka, dan mereka yang tidak mahu menerima perkhabaran itu mengucapkan tahniah kepada diri mereka sendiri atas pertimbangan dan hikmat mereka yang jauh pandang kerana tidak menerima tipu daya itu, sebagaimana mereka menyebutnya. Mereka tidak menyedari bahawa mereka sedang menolak nasihat Allah terhadap diri mereka sendiri, dan sedang bekerja dalam persatuan dengan Syaitan dan malaikat-malaikatnya untuk mengacaukan umat Allah, yang sedang menghidupkan perkhabaran yang diutus dari syurga.</w:t>
      </w:r>
    </w:p>
    <w:p>
      <w:pPr>
        <w:pStyle w:val="ArticleScripture"/>
        <w:jc w:val="left"/>
      </w:pPr>
      <w:r>
        <w:rPr>
          <w:rFonts w:ascii="Times New Roman" w:hAnsi="Times New Roman" w:eastAsia="Times New Roman" w:cs="Times New Roman"/>
        </w:rPr>
        <w:t>“Orang-orang percaya dalam pekabaran ini ditindas di dalam gereja-gereja. Untuk suatu waktu, mereka yang tidak mau menerima pekabaran itu ditahan oleh rasa takut sehingga tidak meluapkan perasaan hati mereka; tetapi berlalunya waktu menyingkapkan perasaan mereka yang sebenarnya. Mereka ingin membungkam kesaksian yang orang-orang yang menantikan itu merasa terdorong untuk sampaikan, yaitu bahwa masa-masa nubuatan itu berlangsung sampai tahun 1844. Dengan jelas orang-orang percaya itu menerangkan kekeliruan mereka dan mengemukakan alasan-alasan mengapa mereka mengharapkan Tuhan mereka pada tahun 1844. Lawan-lawan mereka tidak dapat mengajukan argumen apa pun terhadap alasan-alasan kuat yang telah dikemukakan. Namun amarah gereja-gereja pun menyala; mereka bertekad untuk tidak mendengarkan bukti, dan menutup kesaksian itu dari gereja-gereja, supaya orang-orang lain tidak dapat mendengarnya. Mereka yang tidak berani menahan dari orang lain terang yang Allah telah berikan kepada mereka, dikeluarkan dari gereja-gereja; tetapi Yesus menyertai mereka, dan mereka bersukacita di dalam terang wajah-Nya. Mereka dipersiapkan untuk menerima pekabaran malaikat yang kedua.” Early Writings, 235–237.</w:t>
      </w:r>
    </w:p>
    <w:p>
      <w:pPr>
        <w:pStyle w:val="ArticleBody"/>
        <w:jc w:val="left"/>
      </w:pPr>
      <w:r>
        <w:rPr>
          <w:rFonts w:ascii="Nirmala UI" w:hAnsi="Nirmala UI" w:eastAsia="Nirmala UI" w:cs="Nirmala UI"/>
        </w:rPr>
        <w:t>உடனே</w:t>
      </w:r>
      <w:r>
        <w:rPr>
          <w:rFonts w:ascii="Times New Roman" w:hAnsi="Times New Roman" w:eastAsia="Times New Roman" w:cs="Times New Roman"/>
        </w:rPr>
        <w:t xml:space="preserve"> </w:t>
      </w:r>
      <w:r>
        <w:rPr>
          <w:rFonts w:ascii="Nirmala UI" w:hAnsi="Nirmala UI" w:eastAsia="Nirmala UI" w:cs="Nirmala UI"/>
        </w:rPr>
        <w:t>முன்வைக்கப்பட்டுள்ள</w:t>
      </w:r>
      <w:r>
        <w:rPr>
          <w:rFonts w:ascii="Times New Roman" w:hAnsi="Times New Roman" w:eastAsia="Times New Roman" w:cs="Times New Roman"/>
        </w:rPr>
        <w:t xml:space="preserve"> </w:t>
      </w:r>
      <w:r>
        <w:rPr>
          <w:rFonts w:ascii="Nirmala UI" w:hAnsi="Nirmala UI" w:eastAsia="Nirmala UI" w:cs="Nirmala UI"/>
        </w:rPr>
        <w:t>இந்த</w:t>
      </w:r>
      <w:r>
        <w:rPr>
          <w:rFonts w:ascii="Times New Roman" w:hAnsi="Times New Roman" w:eastAsia="Times New Roman" w:cs="Times New Roman"/>
        </w:rPr>
        <w:t xml:space="preserve"> </w:t>
      </w:r>
      <w:r>
        <w:rPr>
          <w:rFonts w:ascii="Nirmala UI" w:hAnsi="Nirmala UI" w:eastAsia="Nirmala UI" w:cs="Nirmala UI"/>
        </w:rPr>
        <w:t>வரலாறு</w:t>
      </w:r>
      <w:r>
        <w:rPr>
          <w:rFonts w:ascii="Times New Roman" w:hAnsi="Times New Roman" w:eastAsia="Times New Roman" w:cs="Times New Roman"/>
        </w:rPr>
        <w:t xml:space="preserve">, </w:t>
      </w:r>
      <w:r>
        <w:rPr>
          <w:rFonts w:ascii="Nirmala UI" w:hAnsi="Nirmala UI" w:eastAsia="Nirmala UI" w:cs="Nirmala UI"/>
        </w:rPr>
        <w:t>மற்றவற்றுடன்</w:t>
      </w:r>
      <w:r>
        <w:rPr>
          <w:rFonts w:ascii="Times New Roman" w:hAnsi="Times New Roman" w:eastAsia="Times New Roman" w:cs="Times New Roman"/>
        </w:rPr>
        <w:t xml:space="preserve"> </w:t>
      </w:r>
      <w:r>
        <w:rPr>
          <w:rFonts w:ascii="Nirmala UI" w:hAnsi="Nirmala UI" w:eastAsia="Nirmala UI" w:cs="Nirmala UI"/>
        </w:rPr>
        <w:t>சேர்ந்து</w:t>
      </w:r>
      <w:r>
        <w:rPr>
          <w:rFonts w:ascii="Times New Roman" w:hAnsi="Times New Roman" w:eastAsia="Times New Roman" w:cs="Times New Roman"/>
        </w:rPr>
        <w:t xml:space="preserve">, 2020 </w:t>
      </w:r>
      <w:r>
        <w:rPr>
          <w:rFonts w:ascii="Nirmala UI" w:hAnsi="Nirmala UI" w:eastAsia="Nirmala UI" w:cs="Nirmala UI"/>
        </w:rPr>
        <w:t>ஜூலை</w:t>
      </w:r>
      <w:r>
        <w:rPr>
          <w:rFonts w:ascii="Times New Roman" w:hAnsi="Times New Roman" w:eastAsia="Times New Roman" w:cs="Times New Roman"/>
        </w:rPr>
        <w:t xml:space="preserve"> 18-</w:t>
      </w:r>
      <w:r>
        <w:rPr>
          <w:rFonts w:ascii="Nirmala UI" w:hAnsi="Nirmala UI" w:eastAsia="Nirmala UI" w:cs="Nirmala UI"/>
        </w:rPr>
        <w:t>ஆம்</w:t>
      </w:r>
      <w:r>
        <w:rPr>
          <w:rFonts w:ascii="Times New Roman" w:hAnsi="Times New Roman" w:eastAsia="Times New Roman" w:cs="Times New Roman"/>
        </w:rPr>
        <w:t xml:space="preserve"> </w:t>
      </w:r>
      <w:r>
        <w:rPr>
          <w:rFonts w:ascii="Nirmala UI" w:hAnsi="Nirmala UI" w:eastAsia="Nirmala UI" w:cs="Nirmala UI"/>
        </w:rPr>
        <w:t>தேதியின்</w:t>
      </w:r>
      <w:r>
        <w:rPr>
          <w:rFonts w:ascii="Times New Roman" w:hAnsi="Times New Roman" w:eastAsia="Times New Roman" w:cs="Times New Roman"/>
        </w:rPr>
        <w:t xml:space="preserve"> </w:t>
      </w:r>
      <w:r>
        <w:rPr>
          <w:rFonts w:ascii="Nirmala UI" w:hAnsi="Nirmala UI" w:eastAsia="Nirmala UI" w:cs="Nirmala UI"/>
        </w:rPr>
        <w:t>அனுபவத்தையும்</w:t>
      </w:r>
      <w:r>
        <w:rPr>
          <w:rFonts w:ascii="Times New Roman" w:hAnsi="Times New Roman" w:eastAsia="Times New Roman" w:cs="Times New Roman"/>
        </w:rPr>
        <w:t xml:space="preserve"> </w:t>
      </w:r>
      <w:r>
        <w:rPr>
          <w:rFonts w:ascii="Nirmala UI" w:hAnsi="Nirmala UI" w:eastAsia="Nirmala UI" w:cs="Nirmala UI"/>
        </w:rPr>
        <w:t>விளக்குகிறது</w:t>
      </w:r>
      <w:r>
        <w:rPr>
          <w:rFonts w:ascii="Times New Roman" w:hAnsi="Times New Roman" w:eastAsia="Times New Roman" w:cs="Times New Roman"/>
        </w:rPr>
        <w:t xml:space="preserve">; </w:t>
      </w:r>
      <w:r>
        <w:rPr>
          <w:rFonts w:ascii="Nirmala UI" w:hAnsi="Nirmala UI" w:eastAsia="Nirmala UI" w:cs="Nirmala UI"/>
        </w:rPr>
        <w:t>எனினும்</w:t>
      </w:r>
      <w:r>
        <w:rPr>
          <w:rFonts w:ascii="Times New Roman" w:hAnsi="Times New Roman" w:eastAsia="Times New Roman" w:cs="Times New Roman"/>
        </w:rPr>
        <w:t xml:space="preserve">, </w:t>
      </w:r>
      <w:r>
        <w:rPr>
          <w:rFonts w:ascii="Nirmala UI" w:hAnsi="Nirmala UI" w:eastAsia="Nirmala UI" w:cs="Nirmala UI"/>
        </w:rPr>
        <w:t>நீங்கள்</w:t>
      </w:r>
      <w:r>
        <w:rPr>
          <w:rFonts w:ascii="Times New Roman" w:hAnsi="Times New Roman" w:eastAsia="Times New Roman" w:cs="Times New Roman"/>
        </w:rPr>
        <w:t xml:space="preserve"> </w:t>
      </w:r>
      <w:r>
        <w:rPr>
          <w:rFonts w:ascii="Nirmala UI" w:hAnsi="Nirmala UI" w:eastAsia="Nirmala UI" w:cs="Nirmala UI"/>
        </w:rPr>
        <w:t>கவனிக்க</w:t>
      </w:r>
      <w:r>
        <w:rPr>
          <w:rFonts w:ascii="Times New Roman" w:hAnsi="Times New Roman" w:eastAsia="Times New Roman" w:cs="Times New Roman"/>
        </w:rPr>
        <w:t xml:space="preserve"> </w:t>
      </w:r>
      <w:r>
        <w:rPr>
          <w:rFonts w:ascii="Nirmala UI" w:hAnsi="Nirmala UI" w:eastAsia="Nirmala UI" w:cs="Nirmala UI"/>
        </w:rPr>
        <w:t>வேண்டிய</w:t>
      </w:r>
      <w:r>
        <w:rPr>
          <w:rFonts w:ascii="Times New Roman" w:hAnsi="Times New Roman" w:eastAsia="Times New Roman" w:cs="Times New Roman"/>
        </w:rPr>
        <w:t xml:space="preserve"> </w:t>
      </w:r>
      <w:r>
        <w:rPr>
          <w:rFonts w:ascii="Nirmala UI" w:hAnsi="Nirmala UI" w:eastAsia="Nirmala UI" w:cs="Nirmala UI"/>
        </w:rPr>
        <w:t>கருத்து</w:t>
      </w:r>
      <w:r>
        <w:rPr>
          <w:rFonts w:ascii="Times New Roman" w:hAnsi="Times New Roman" w:eastAsia="Times New Roman" w:cs="Times New Roman"/>
        </w:rPr>
        <w:t xml:space="preserve"> </w:t>
      </w:r>
      <w:r>
        <w:rPr>
          <w:rFonts w:ascii="Nirmala UI" w:hAnsi="Nirmala UI" w:eastAsia="Nirmala UI" w:cs="Nirmala UI"/>
        </w:rPr>
        <w:t>இதுவாகும்</w:t>
      </w:r>
      <w:r>
        <w:rPr>
          <w:rFonts w:ascii="Times New Roman" w:hAnsi="Times New Roman" w:eastAsia="Times New Roman" w:cs="Times New Roman"/>
        </w:rPr>
        <w:t xml:space="preserve">: </w:t>
      </w:r>
      <w:r>
        <w:rPr>
          <w:rFonts w:ascii="Nirmala UI" w:hAnsi="Nirmala UI" w:eastAsia="Nirmala UI" w:cs="Nirmala UI"/>
        </w:rPr>
        <w:t>எக்செட்டர்</w:t>
      </w:r>
      <w:r>
        <w:rPr>
          <w:rFonts w:ascii="Times New Roman" w:hAnsi="Times New Roman" w:eastAsia="Times New Roman" w:cs="Times New Roman"/>
        </w:rPr>
        <w:t xml:space="preserve"> </w:t>
      </w:r>
      <w:r>
        <w:rPr>
          <w:rFonts w:ascii="Nirmala UI" w:hAnsi="Nirmala UI" w:eastAsia="Nirmala UI" w:cs="Nirmala UI"/>
        </w:rPr>
        <w:t>முகாம்</w:t>
      </w:r>
      <w:r>
        <w:rPr>
          <w:rFonts w:ascii="Times New Roman" w:hAnsi="Times New Roman" w:eastAsia="Times New Roman" w:cs="Times New Roman"/>
        </w:rPr>
        <w:t xml:space="preserve"> </w:t>
      </w:r>
      <w:r>
        <w:rPr>
          <w:rFonts w:ascii="Nirmala UI" w:hAnsi="Nirmala UI" w:eastAsia="Nirmala UI" w:cs="Nirmala UI"/>
        </w:rPr>
        <w:t>கூட்டத்தில்</w:t>
      </w:r>
      <w:r>
        <w:rPr>
          <w:rFonts w:ascii="Times New Roman" w:hAnsi="Times New Roman" w:eastAsia="Times New Roman" w:cs="Times New Roman"/>
        </w:rPr>
        <w:t xml:space="preserve"> </w:t>
      </w:r>
      <w:r>
        <w:rPr>
          <w:rFonts w:ascii="Nirmala UI" w:hAnsi="Nirmala UI" w:eastAsia="Nirmala UI" w:cs="Nirmala UI"/>
        </w:rPr>
        <w:t>சாமுவேல்</w:t>
      </w:r>
      <w:r>
        <w:rPr>
          <w:rFonts w:ascii="Times New Roman" w:hAnsi="Times New Roman" w:eastAsia="Times New Roman" w:cs="Times New Roman"/>
        </w:rPr>
        <w:t xml:space="preserve"> </w:t>
      </w:r>
      <w:r>
        <w:rPr>
          <w:rFonts w:ascii="Nirmala UI" w:hAnsi="Nirmala UI" w:eastAsia="Nirmala UI" w:cs="Nirmala UI"/>
        </w:rPr>
        <w:t>ஸ்நோ</w:t>
      </w:r>
      <w:r>
        <w:rPr>
          <w:rFonts w:ascii="Times New Roman" w:hAnsi="Times New Roman" w:eastAsia="Times New Roman" w:cs="Times New Roman"/>
        </w:rPr>
        <w:t xml:space="preserve"> </w:t>
      </w:r>
      <w:r>
        <w:rPr>
          <w:rFonts w:ascii="Nirmala UI" w:hAnsi="Nirmala UI" w:eastAsia="Nirmala UI" w:cs="Nirmala UI"/>
        </w:rPr>
        <w:t>அளித்த</w:t>
      </w:r>
      <w:r>
        <w:rPr>
          <w:rFonts w:ascii="Times New Roman" w:hAnsi="Times New Roman" w:eastAsia="Times New Roman" w:cs="Times New Roman"/>
        </w:rPr>
        <w:t xml:space="preserve"> </w:t>
      </w:r>
      <w:r>
        <w:rPr>
          <w:rFonts w:ascii="Nirmala UI" w:hAnsi="Nirmala UI" w:eastAsia="Nirmala UI" w:cs="Nirmala UI"/>
        </w:rPr>
        <w:t>நள்ளிரவுக்</w:t>
      </w:r>
      <w:r>
        <w:rPr>
          <w:rFonts w:ascii="Times New Roman" w:hAnsi="Times New Roman" w:eastAsia="Times New Roman" w:cs="Times New Roman"/>
        </w:rPr>
        <w:t xml:space="preserve"> </w:t>
      </w:r>
      <w:r>
        <w:rPr>
          <w:rFonts w:ascii="Nirmala UI" w:hAnsi="Nirmala UI" w:eastAsia="Nirmala UI" w:cs="Nirmala UI"/>
        </w:rPr>
        <w:t>கூக்குரலின்</w:t>
      </w:r>
      <w:r>
        <w:rPr>
          <w:rFonts w:ascii="Times New Roman" w:hAnsi="Times New Roman" w:eastAsia="Times New Roman" w:cs="Times New Roman"/>
        </w:rPr>
        <w:t xml:space="preserve"> </w:t>
      </w:r>
      <w:r>
        <w:rPr>
          <w:rFonts w:ascii="Nirmala UI" w:hAnsi="Nirmala UI" w:eastAsia="Nirmala UI" w:cs="Nirmala UI"/>
        </w:rPr>
        <w:t>செய்தியால்</w:t>
      </w:r>
      <w:r>
        <w:rPr>
          <w:rFonts w:ascii="Times New Roman" w:hAnsi="Times New Roman" w:eastAsia="Times New Roman" w:cs="Times New Roman"/>
        </w:rPr>
        <w:t xml:space="preserve"> </w:t>
      </w:r>
      <w:r>
        <w:rPr>
          <w:rFonts w:ascii="Nirmala UI" w:hAnsi="Nirmala UI" w:eastAsia="Nirmala UI" w:cs="Nirmala UI"/>
        </w:rPr>
        <w:t>பிரதிநிதித்துவப்படுத்தப்படும்</w:t>
      </w:r>
      <w:r>
        <w:rPr>
          <w:rFonts w:ascii="Times New Roman" w:hAnsi="Times New Roman" w:eastAsia="Times New Roman" w:cs="Times New Roman"/>
        </w:rPr>
        <w:t xml:space="preserve"> </w:t>
      </w:r>
      <w:r>
        <w:rPr>
          <w:rFonts w:ascii="Nirmala UI" w:hAnsi="Nirmala UI" w:eastAsia="Nirmala UI" w:cs="Nirmala UI"/>
        </w:rPr>
        <w:t>அந்தப்</w:t>
      </w:r>
      <w:r>
        <w:rPr>
          <w:rFonts w:ascii="Times New Roman" w:hAnsi="Times New Roman" w:eastAsia="Times New Roman" w:cs="Times New Roman"/>
        </w:rPr>
        <w:t xml:space="preserve"> </w:t>
      </w:r>
      <w:r>
        <w:rPr>
          <w:rFonts w:ascii="Nirmala UI" w:hAnsi="Nirmala UI" w:eastAsia="Nirmala UI" w:cs="Nirmala UI"/>
        </w:rPr>
        <w:t>புரிதல்</w:t>
      </w:r>
      <w:r>
        <w:rPr>
          <w:rFonts w:ascii="Times New Roman" w:hAnsi="Times New Roman" w:eastAsia="Times New Roman" w:cs="Times New Roman"/>
        </w:rPr>
        <w:t xml:space="preserve">, </w:t>
      </w:r>
      <w:r>
        <w:rPr>
          <w:rFonts w:ascii="Nirmala UI" w:hAnsi="Nirmala UI" w:eastAsia="Nirmala UI" w:cs="Nirmala UI"/>
        </w:rPr>
        <w:t>ஸ்நோவின்</w:t>
      </w:r>
      <w:r>
        <w:rPr>
          <w:rFonts w:ascii="Times New Roman" w:hAnsi="Times New Roman" w:eastAsia="Times New Roman" w:cs="Times New Roman"/>
        </w:rPr>
        <w:t xml:space="preserve"> </w:t>
      </w:r>
      <w:r>
        <w:rPr>
          <w:rFonts w:ascii="Nirmala UI" w:hAnsi="Nirmala UI" w:eastAsia="Nirmala UI" w:cs="Nirmala UI"/>
        </w:rPr>
        <w:t>வரலாற்றுப்</w:t>
      </w:r>
      <w:r>
        <w:rPr>
          <w:rFonts w:ascii="Times New Roman" w:hAnsi="Times New Roman" w:eastAsia="Times New Roman" w:cs="Times New Roman"/>
        </w:rPr>
        <w:t xml:space="preserve"> </w:t>
      </w:r>
      <w:r>
        <w:rPr>
          <w:rFonts w:ascii="Nirmala UI" w:hAnsi="Nirmala UI" w:eastAsia="Nirmala UI" w:cs="Nirmala UI"/>
        </w:rPr>
        <w:t>பணியால்</w:t>
      </w:r>
      <w:r>
        <w:rPr>
          <w:rFonts w:ascii="Times New Roman" w:hAnsi="Times New Roman" w:eastAsia="Times New Roman" w:cs="Times New Roman"/>
        </w:rPr>
        <w:t xml:space="preserve"> </w:t>
      </w:r>
      <w:r>
        <w:rPr>
          <w:rFonts w:ascii="Nirmala UI" w:hAnsi="Nirmala UI" w:eastAsia="Nirmala UI" w:cs="Nirmala UI"/>
        </w:rPr>
        <w:t>அல்ல</w:t>
      </w:r>
      <w:r>
        <w:rPr>
          <w:rFonts w:ascii="Times New Roman" w:hAnsi="Times New Roman" w:eastAsia="Times New Roman" w:cs="Times New Roman"/>
        </w:rPr>
        <w:t xml:space="preserve">, </w:t>
      </w:r>
      <w:r>
        <w:rPr>
          <w:rFonts w:ascii="Nirmala UI" w:hAnsi="Nirmala UI" w:eastAsia="Nirmala UI" w:cs="Nirmala UI"/>
        </w:rPr>
        <w:t>கர்த்தருடைய</w:t>
      </w:r>
      <w:r>
        <w:rPr>
          <w:rFonts w:ascii="Times New Roman" w:hAnsi="Times New Roman" w:eastAsia="Times New Roman" w:cs="Times New Roman"/>
        </w:rPr>
        <w:t xml:space="preserve"> </w:t>
      </w:r>
      <w:r>
        <w:rPr>
          <w:rFonts w:ascii="Nirmala UI" w:hAnsi="Nirmala UI" w:eastAsia="Nirmala UI" w:cs="Nirmala UI"/>
        </w:rPr>
        <w:t>கையின்</w:t>
      </w:r>
      <w:r>
        <w:rPr>
          <w:rFonts w:ascii="Times New Roman" w:hAnsi="Times New Roman" w:eastAsia="Times New Roman" w:cs="Times New Roman"/>
        </w:rPr>
        <w:t xml:space="preserve"> </w:t>
      </w:r>
      <w:r>
        <w:rPr>
          <w:rFonts w:ascii="Nirmala UI" w:hAnsi="Nirmala UI" w:eastAsia="Nirmala UI" w:cs="Nirmala UI"/>
        </w:rPr>
        <w:t>செயலால்</w:t>
      </w:r>
      <w:r>
        <w:rPr>
          <w:rFonts w:ascii="Times New Roman" w:hAnsi="Times New Roman" w:eastAsia="Times New Roman" w:cs="Times New Roman"/>
        </w:rPr>
        <w:t xml:space="preserve"> </w:t>
      </w:r>
      <w:r>
        <w:rPr>
          <w:rFonts w:ascii="Nirmala UI" w:hAnsi="Nirmala UI" w:eastAsia="Nirmala UI" w:cs="Nirmala UI"/>
        </w:rPr>
        <w:t>பிரதிநிதித்துவப்படுத்தப்படுகிறது</w:t>
      </w:r>
      <w:r>
        <w:rPr>
          <w:rFonts w:ascii="Times New Roman" w:hAnsi="Times New Roman" w:eastAsia="Times New Roman" w:cs="Times New Roman"/>
        </w:rPr>
        <w:t xml:space="preserve">. </w:t>
      </w:r>
      <w:r>
        <w:rPr>
          <w:rFonts w:ascii="Nirmala UI" w:hAnsi="Nirmala UI" w:eastAsia="Nirmala UI" w:cs="Nirmala UI"/>
        </w:rPr>
        <w:t>அவருடைய</w:t>
      </w:r>
      <w:r>
        <w:rPr>
          <w:rFonts w:ascii="Times New Roman" w:hAnsi="Times New Roman" w:eastAsia="Times New Roman" w:cs="Times New Roman"/>
        </w:rPr>
        <w:t xml:space="preserve"> </w:t>
      </w:r>
      <w:r>
        <w:rPr>
          <w:rFonts w:ascii="Nirmala UI" w:hAnsi="Nirmala UI" w:eastAsia="Nirmala UI" w:cs="Nirmala UI"/>
        </w:rPr>
        <w:t>கை</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தவறை</w:t>
      </w:r>
      <w:r>
        <w:rPr>
          <w:rFonts w:ascii="Times New Roman" w:hAnsi="Times New Roman" w:eastAsia="Times New Roman" w:cs="Times New Roman"/>
        </w:rPr>
        <w:t xml:space="preserve"> </w:t>
      </w:r>
      <w:r>
        <w:rPr>
          <w:rFonts w:ascii="Nirmala UI" w:hAnsi="Nirmala UI" w:eastAsia="Nirmala UI" w:cs="Nirmala UI"/>
        </w:rPr>
        <w:t>மூடியிருந்தது</w:t>
      </w:r>
      <w:r>
        <w:rPr>
          <w:rFonts w:ascii="Times New Roman" w:hAnsi="Times New Roman" w:eastAsia="Times New Roman" w:cs="Times New Roman"/>
        </w:rPr>
        <w:t xml:space="preserve">; </w:t>
      </w:r>
      <w:r>
        <w:rPr>
          <w:rFonts w:ascii="Nirmala UI" w:hAnsi="Nirmala UI" w:eastAsia="Nirmala UI" w:cs="Nirmala UI"/>
        </w:rPr>
        <w:t>அவர்</w:t>
      </w:r>
      <w:r>
        <w:rPr>
          <w:rFonts w:ascii="Times New Roman" w:hAnsi="Times New Roman" w:eastAsia="Times New Roman" w:cs="Times New Roman"/>
        </w:rPr>
        <w:t xml:space="preserve"> </w:t>
      </w:r>
      <w:r>
        <w:rPr>
          <w:rFonts w:ascii="Nirmala UI" w:hAnsi="Nirmala UI" w:eastAsia="Nirmala UI" w:cs="Nirmala UI"/>
        </w:rPr>
        <w:t>தமது</w:t>
      </w:r>
      <w:r>
        <w:rPr>
          <w:rFonts w:ascii="Times New Roman" w:hAnsi="Times New Roman" w:eastAsia="Times New Roman" w:cs="Times New Roman"/>
        </w:rPr>
        <w:t xml:space="preserve"> </w:t>
      </w:r>
      <w:r>
        <w:rPr>
          <w:rFonts w:ascii="Nirmala UI" w:hAnsi="Nirmala UI" w:eastAsia="Nirmala UI" w:cs="Nirmala UI"/>
        </w:rPr>
        <w:t>கையை</w:t>
      </w:r>
      <w:r>
        <w:rPr>
          <w:rFonts w:ascii="Times New Roman" w:hAnsi="Times New Roman" w:eastAsia="Times New Roman" w:cs="Times New Roman"/>
        </w:rPr>
        <w:t xml:space="preserve"> </w:t>
      </w:r>
      <w:r>
        <w:rPr>
          <w:rFonts w:ascii="Nirmala UI" w:hAnsi="Nirmala UI" w:eastAsia="Nirmala UI" w:cs="Nirmala UI"/>
        </w:rPr>
        <w:t>அகற்றியபோது</w:t>
      </w:r>
      <w:r>
        <w:rPr>
          <w:rFonts w:ascii="Times New Roman" w:hAnsi="Times New Roman" w:eastAsia="Times New Roman" w:cs="Times New Roman"/>
        </w:rPr>
        <w:t xml:space="preserve">, </w:t>
      </w:r>
      <w:r>
        <w:rPr>
          <w:rFonts w:ascii="Nirmala UI" w:hAnsi="Nirmala UI" w:eastAsia="Nirmala UI" w:cs="Nirmala UI"/>
        </w:rPr>
        <w:t>மில்லரைட்டுகள்</w:t>
      </w:r>
      <w:r>
        <w:rPr>
          <w:rFonts w:ascii="Times New Roman" w:hAnsi="Times New Roman" w:eastAsia="Times New Roman" w:cs="Times New Roman"/>
        </w:rPr>
        <w:t xml:space="preserve"> </w:t>
      </w:r>
      <w:r>
        <w:rPr>
          <w:rFonts w:ascii="Nirmala UI" w:hAnsi="Nirmala UI" w:eastAsia="Nirmala UI" w:cs="Nirmala UI"/>
        </w:rPr>
        <w:t>தங்கள்</w:t>
      </w:r>
      <w:r>
        <w:rPr>
          <w:rFonts w:ascii="Times New Roman" w:hAnsi="Times New Roman" w:eastAsia="Times New Roman" w:cs="Times New Roman"/>
        </w:rPr>
        <w:t xml:space="preserve"> </w:t>
      </w:r>
      <w:r>
        <w:rPr>
          <w:rFonts w:ascii="Nirmala UI" w:hAnsi="Nirmala UI" w:eastAsia="Nirmala UI" w:cs="Nirmala UI"/>
        </w:rPr>
        <w:t>ஏமாற்றத்தைப்</w:t>
      </w:r>
      <w:r>
        <w:rPr>
          <w:rFonts w:ascii="Times New Roman" w:hAnsi="Times New Roman" w:eastAsia="Times New Roman" w:cs="Times New Roman"/>
        </w:rPr>
        <w:t xml:space="preserve"> </w:t>
      </w:r>
      <w:r>
        <w:rPr>
          <w:rFonts w:ascii="Nirmala UI" w:hAnsi="Nirmala UI" w:eastAsia="Nirmala UI" w:cs="Nirmala UI"/>
        </w:rPr>
        <w:t>புரிந்துகொள்ளவும்</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தாங்கள்</w:t>
      </w:r>
      <w:r>
        <w:rPr>
          <w:rFonts w:ascii="Times New Roman" w:hAnsi="Times New Roman" w:eastAsia="Times New Roman" w:cs="Times New Roman"/>
        </w:rPr>
        <w:t xml:space="preserve"> </w:t>
      </w:r>
      <w:r>
        <w:rPr>
          <w:rFonts w:ascii="Nirmala UI" w:hAnsi="Nirmala UI" w:eastAsia="Nirmala UI" w:cs="Nirmala UI"/>
        </w:rPr>
        <w:t>தாமதிக்கும்</w:t>
      </w:r>
      <w:r>
        <w:rPr>
          <w:rFonts w:ascii="Times New Roman" w:hAnsi="Times New Roman" w:eastAsia="Times New Roman" w:cs="Times New Roman"/>
        </w:rPr>
        <w:t xml:space="preserve"> </w:t>
      </w:r>
      <w:r>
        <w:rPr>
          <w:rFonts w:ascii="Nirmala UI" w:hAnsi="Nirmala UI" w:eastAsia="Nirmala UI" w:cs="Nirmala UI"/>
        </w:rPr>
        <w:t>காலமாகச்</w:t>
      </w:r>
      <w:r>
        <w:rPr>
          <w:rFonts w:ascii="Times New Roman" w:hAnsi="Times New Roman" w:eastAsia="Times New Roman" w:cs="Times New Roman"/>
        </w:rPr>
        <w:t xml:space="preserve"> </w:t>
      </w:r>
      <w:r>
        <w:rPr>
          <w:rFonts w:ascii="Nirmala UI" w:hAnsi="Nirmala UI" w:eastAsia="Nirmala UI" w:cs="Nirmala UI"/>
        </w:rPr>
        <w:t>சித்தரிக்கப்பட்டிருந்த</w:t>
      </w:r>
      <w:r>
        <w:rPr>
          <w:rFonts w:ascii="Times New Roman" w:hAnsi="Times New Roman" w:eastAsia="Times New Roman" w:cs="Times New Roman"/>
        </w:rPr>
        <w:t xml:space="preserve"> </w:t>
      </w:r>
      <w:r>
        <w:rPr>
          <w:rFonts w:ascii="Nirmala UI" w:hAnsi="Nirmala UI" w:eastAsia="Nirmala UI" w:cs="Nirmala UI"/>
        </w:rPr>
        <w:t>அந்தக்</w:t>
      </w:r>
      <w:r>
        <w:rPr>
          <w:rFonts w:ascii="Times New Roman" w:hAnsi="Times New Roman" w:eastAsia="Times New Roman" w:cs="Times New Roman"/>
        </w:rPr>
        <w:t xml:space="preserve"> </w:t>
      </w:r>
      <w:r>
        <w:rPr>
          <w:rFonts w:ascii="Nirmala UI" w:hAnsi="Nirmala UI" w:eastAsia="Nirmala UI" w:cs="Nirmala UI"/>
        </w:rPr>
        <w:t>காலப்பகுதியில்</w:t>
      </w:r>
      <w:r>
        <w:rPr>
          <w:rFonts w:ascii="Times New Roman" w:hAnsi="Times New Roman" w:eastAsia="Times New Roman" w:cs="Times New Roman"/>
        </w:rPr>
        <w:t xml:space="preserve"> </w:t>
      </w:r>
      <w:r>
        <w:rPr>
          <w:rFonts w:ascii="Nirmala UI" w:hAnsi="Nirmala UI" w:eastAsia="Nirmala UI" w:cs="Nirmala UI"/>
        </w:rPr>
        <w:t>இருந்ததாகவும்</w:t>
      </w:r>
      <w:r>
        <w:rPr>
          <w:rFonts w:ascii="Times New Roman" w:hAnsi="Times New Roman" w:eastAsia="Times New Roman" w:cs="Times New Roman"/>
        </w:rPr>
        <w:t xml:space="preserve"> </w:t>
      </w:r>
      <w:r>
        <w:rPr>
          <w:rFonts w:ascii="Nirmala UI" w:hAnsi="Nirmala UI" w:eastAsia="Nirmala UI" w:cs="Nirmala UI"/>
        </w:rPr>
        <w:t>புரிந்துகொள்ள</w:t>
      </w:r>
      <w:r>
        <w:rPr>
          <w:rFonts w:ascii="Times New Roman" w:hAnsi="Times New Roman" w:eastAsia="Times New Roman" w:cs="Times New Roman"/>
        </w:rPr>
        <w:t xml:space="preserve"> </w:t>
      </w:r>
      <w:r>
        <w:rPr>
          <w:rFonts w:ascii="Nirmala UI" w:hAnsi="Nirmala UI" w:eastAsia="Nirmala UI" w:cs="Nirmala UI"/>
        </w:rPr>
        <w:t>முடிந்தது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Go tlosiwa ga seatla sa Gagwe ke karolo ya bohlokwa mo go barutwa ba ba neng ba le mo tseleng e e yang Emause. Go tshwantsha bokhutlo jwa paka e e itseweng e le nako ya go diega, mme go khutla ka kutlwisiso e e emetsweng ke molaetsa wa Mogololo wa Bosigogare. Le fa go ntse jalo, setshwantsho sa Emause se diragetse morago ga sefapaano, se se emelang Phokoletso e Kgolo, e seng phokoletso ya ntlha ya loso lwa ga Lasaro.</w:t>
      </w:r>
    </w:p>
    <w:p>
      <w:pPr>
        <w:pStyle w:val="ArticleScripture"/>
        <w:jc w:val="left"/>
      </w:pPr>
      <w:r>
        <w:rPr>
          <w:rFonts w:ascii="Times New Roman" w:hAnsi="Times New Roman" w:eastAsia="Times New Roman" w:cs="Times New Roman"/>
        </w:rPr>
        <w:t>A re, ba neeg ba le babedi ba bona ba ya ka lona letsatsi leo motseng o o bidiwang Emauso, o o neng o le bokgakala jwa difurlongo di le masome a marataro go tswa kwa Jerusalema. Mme ba ne ba buisana mmogo ka tsotlhe tse di neng di diragetse. Mme ga diragala gore, fa ba santse ba buisana ba bile ba akanya, Jesu ka boene a ba atamela, a tsamaya nabo. Mme matlho a bone a ne a thibetswe gore ba se ka ba mo itse. Mme a ba raya a re, “Ke dipuisano dife tse lo nang natso mongwe go yo mongwe, fa lo ntse lo tsamaya, lo hutsafetse?” Luke 24:13–16.</w:t>
      </w:r>
    </w:p>
    <w:p>
      <w:pPr>
        <w:pStyle w:val="ArticleBody"/>
        <w:jc w:val="left"/>
      </w:pPr>
      <w:r>
        <w:rPr>
          <w:rFonts w:ascii="Times New Roman" w:hAnsi="Times New Roman" w:eastAsia="Times New Roman" w:cs="Times New Roman"/>
        </w:rPr>
        <w:t>Lefoko “matlho” mo temaneng eo le emela pono, go feta serwe sa leitlho ka bosone. Lefoko “holden” le raya thata. Barutwa ba ne ba sa kgone go tlhaloganya pono ya sefapaano gonne Keresete o ne a bipile bokgoni jwa bone jwa go bona pono ya boporofeti ya sefapaano. Seatla sa Keresete ke sesupo sa thata ya Gagwe. Bohutsana jo Jesu a neng a bo lemoga bo ne bo emela go swabisega ga bone mo gogolo. Morago ga puisano e nngwe gape ya barutwa ba ba neng ba swabile, Keresete a simolola go bua.</w:t>
      </w:r>
    </w:p>
    <w:p>
      <w:pPr>
        <w:pStyle w:val="ArticleScripture"/>
        <w:jc w:val="left"/>
      </w:pPr>
      <w:r>
        <w:rPr>
          <w:rFonts w:ascii="Times New Roman" w:hAnsi="Times New Roman" w:eastAsia="Times New Roman" w:cs="Times New Roman"/>
        </w:rPr>
        <w:t>Banjur piyambakipun ngandika dhateng para murid wau, “He para wong bodho, lan alon atining manah anggenipun pracaya dhateng samukawis ingkang sampun dipunandharaken para nabi! Menapa boten kedah Sang Kristus nandhang samukawis punika, lajeng lumebet dhateng kamulyanipun?” Sartosipun wiwit saking Musa lan sedaya nabi, piyambakipun nerangaken dhateng mereka ing salebeting sedaya Kitab Suci prekawis-prekawis ingkang magepokan kaliyan piyambakipun piyambak. Banjur para murid wau sampun celak dhateng désa ingkang dados tujuan lampahipun; dene piyambakipun katingal kados badhé nerusaken lampah langkung tebih. Nanging para murid wau nyuwun kanthi saestu, matur, “Karsaa manggen sesarengan kaliyan kawula, awit sampun nyedhak sonten, lan dinten sampun ngantos pungkasanipun.” Mila piyambakipun lajeng lumebet supados manggen sesarengan kaliyan para murid wau. Lukas 24:25–29.</w:t>
      </w:r>
    </w:p>
    <w:p>
      <w:pPr>
        <w:pStyle w:val="ArticleBody"/>
        <w:jc w:val="left"/>
      </w:pPr>
      <w:r>
        <w:rPr>
          <w:rFonts w:ascii="Times New Roman" w:hAnsi="Times New Roman" w:eastAsia="Times New Roman" w:cs="Times New Roman"/>
        </w:rPr>
        <w:t>Jisas i bin givim skul long olketa disaepol taem hem yusum wei bilong interpretim Baebol we olketa kolem “historicist”, hem tekem olketa laen bilong profesi stat long Moses i kam gohed long olketa historia tabu blong luksave long historia bilong kros. Jisas i yusum olketa laen bilong profesi long taem bifo, olketa ia i representim olketa olketafala olketafala olketafala rod blong bifo mo wei bilong “laen antap long laen”, blong skulim olketa disaepol we olketa bin kasem disapointment. Taem hem luk olsem bae hem go moa farawe without olketa, olketa strongim hem blong hem kam insaed mo stap witim olketa. Olketa i stap long taem bilong wet, mo Kraes i klosap blong tekewe han blong Hem long olketa ai blong olketa. Taem han blong Hem i tekewe, taem bilong wet bae finis, mo taem olketa rana kwiktaem long tudak gobak long Jerusalem mo long eleven disaepol, olketa i typifaem speed blong pasim go long mesij bilong Midnaet Krai.</w:t>
      </w:r>
    </w:p>
    <w:p>
      <w:pPr>
        <w:pStyle w:val="ArticleScripture"/>
        <w:jc w:val="left"/>
      </w:pPr>
      <w:r>
        <w:rPr>
          <w:rFonts w:ascii="Times New Roman" w:hAnsi="Times New Roman" w:eastAsia="Times New Roman" w:cs="Times New Roman"/>
        </w:rPr>
        <w:t>Lalu terjadilah, ketika Ia duduk makan bersama-sama dengan mereka, Ia mengambil roti, mengucap berkat atasnya, memecah-mecahkannya, lalu memberikannya kepada mereka. Maka terbukalah mata mereka, dan mereka mengenal Dia; lalu Ia lenyap dari pandangan mereka. Lukas 24:31.</w:t>
      </w:r>
    </w:p>
    <w:p>
      <w:pPr>
        <w:pStyle w:val="ArticleBody"/>
        <w:jc w:val="left"/>
      </w:pPr>
      <w:r>
        <w:rPr>
          <w:rFonts w:ascii="Times New Roman" w:hAnsi="Times New Roman" w:eastAsia="Times New Roman" w:cs="Times New Roman"/>
        </w:rPr>
        <w:t>Yesu a tlosetsa letsoho la Hae le neng le tšoere kutloisiso ea bona ea pono ea boprofeta, ’me ha A etsa joalo, ba Mo tseba. Jesu o ne a ba tliselitse molaetsa oa Sello sa Har’a Mpa ea Bosiu, ’me ba o amohela ba ntse ba ja, hobane molaetsa o mong le o mong o tshwanetse ho jewe. Hang-hang ba potlakela “joalo ka leqhubu le leholo le aparelang naha eohle” ho ea bolella barutuoa ba leshome le motso o mong.</w:t>
      </w:r>
    </w:p>
    <w:p>
      <w:pPr>
        <w:pStyle w:val="ArticleScripture"/>
        <w:jc w:val="left"/>
      </w:pPr>
      <w:r>
        <w:rPr>
          <w:rFonts w:ascii="Times New Roman" w:hAnsi="Times New Roman" w:eastAsia="Times New Roman" w:cs="Times New Roman"/>
        </w:rPr>
        <w:t>Mereka berkata seorang kepada yang lain, “Bukankah hati kita berkobar-kobar di dalam kita, ketika Ia berbicara dengan kita di jalan dan ketika Ia membuka Kitab Suci kepada kita?” Lalu bangunlah mereka pada saat itu juga dan kembali ke Yerusalem, dan mendapati kesebelas murid sedang berkumpul bersama mereka yang menyertai mereka, yang berkata, “Tuhan benar-benar telah bangkit dan telah menampakkan diri kepada Simon.” Maka mereka pun menceritakan apa yang telah terjadi di jalan, dan bagaimana Ia dikenal oleh mereka pada waktu pemecahan roti. Ketika mereka sedang membicarakan hal-hal itu, Yesus sendiri berdiri di tengah-tengah mereka dan berkata kepada mereka, “Damai sejahtera bagi kamu.” Tetapi mereka terkejut dan sangat ketakutan, dan menyangka bahwa mereka melihat suatu roh. Lalu Ia berkata kepada mereka, “Mengapa kamu terkejut? Dan mengapa timbul keragu-raguan di dalam hatimu? Lihatlah tangan-Ku dan kaki-Ku, bahwa Aku sendirilah ini; rabalah Aku dan lihatlah, sebab roh tidak mempunyai daging dan tulang seperti yang kamu lihat ada pada-Ku.” Dan sesudah berkata demikian, Ia menunjukkan tangan dan kaki-Nya kepada mereka. Tetapi sementara mereka belum juga percaya karena sukacita dan masih heran, Ia berkata kepada mereka, “Adakah padamu makanan di sini?” Lalu mereka memberikan kepada-Nya sepotong ikan panggang dan sedikit sarang madu. Dan Ia mengambilnya lalu memakannya di depan mereka. Kemudian Ia berkata kepada mereka, “Inilah perkataan yang telah Kukatakan kepadamu, ketika Aku masih bersama-sama dengan kamu, bahwa segala sesuatu yang tertulis tentang Aku dalam hukum Musa, kitab para nabi, dan kitab mazmur harus digenapi.” Lalu Ia membuka pikiran mereka, sehingga mereka dapat mengerti Kitab Suci. Lukas 24:32–45.</w:t>
      </w:r>
    </w:p>
    <w:p>
      <w:pPr>
        <w:pStyle w:val="ArticleBody"/>
        <w:jc w:val="left"/>
      </w:pPr>
      <w:r>
        <w:rPr>
          <w:rFonts w:ascii="Times New Roman" w:hAnsi="Times New Roman" w:eastAsia="Times New Roman" w:cs="Times New Roman"/>
        </w:rPr>
        <w:t>Manna ni ka seng bangi ba dingwana ba Emmaus, Jesus o tlhagisa molaetsa ka ditiragalo tse di boitshepo tsa Baebele tsa bogologolo go tlhalosa hisetori ya loso lwa Gagwe le tsogo ya Gagwe; mme O ne a dira jalo ka go ba naya sekai sa go ja. Batho ba Modimo ba tshwanetse go ja molaetsa. Mo go sa tlhomamang ga bone le mo botlhokong jwa bone, Jesus o khutlisa nako ya go diega e e neng ya diragala go simolola ka loso lwa Gagwe go fitlha mo tsogong ya Gagwe, tlhatlogelong ya Gagwe le go boeng ga Gagwe, ka go bula tlhaloganyo ya bone mo molaetseng wa boammaaruri jwa jaanong o o neng o theilwe mo ditiragalong tse di boitshepo tsa bogologolo di kopanngwa mmogo, mola mo godimo ga mola.</w:t>
      </w:r>
    </w:p>
    <w:p>
      <w:pPr>
        <w:pStyle w:val="ArticleBody"/>
        <w:jc w:val="left"/>
      </w:pPr>
      <w:r>
        <w:rPr>
          <w:rFonts w:ascii="Times New Roman" w:hAnsi="Times New Roman" w:eastAsia="Times New Roman" w:cs="Times New Roman"/>
        </w:rPr>
        <w:t>Kwa hiyo, wale wanafunzi wawili waliokuwa njiani kuelekea Emau (wanaowakilisha malaika wa pili ambaye ameunganishwa na kutiwa nguvu na ujumbe wa Kilio cha Usiku wa manane) wanaitambulisha kipindi cha kukawia kilichofuata msalaba kuwa ndicho kipindi cha kukawia kilichotangulia Kilio cha Usiku wa manane. Kwa hiyo, kukata tamaa kwa wanafunzi hao kunawakilisha kukata tamaa kwa kwanza katika mstari wa kinabii, si kule kukata tamaa kukuu.</w:t>
      </w:r>
    </w:p>
    <w:p>
      <w:pPr>
        <w:pStyle w:val="ArticleBody"/>
        <w:jc w:val="left"/>
      </w:pPr>
      <w:r>
        <w:rPr>
          <w:rFonts w:ascii="Times New Roman" w:hAnsi="Times New Roman" w:eastAsia="Times New Roman" w:cs="Times New Roman"/>
        </w:rPr>
        <w:t>Lisano la Emmaus lyabuyila paŵili kwa ophunzira khumi na mmodzi amene anakhumudwa. Yesu anagwirizana nawo, naŵalangiza za kukwaniritsidwa kwa mawu a uneneri mwa njira ya “historicism,” ndipo kenaka anatsegula kuzindikira kwawo ali mkati mwa kudya. Chiyambi cha nkhanayi chizindikiritsa mapeto a nkhanayi. Kenaka Yesu anakhazikitsa mboni yachitatu yakuti kukhumudwa kwa pa mtanda kungagwiritsidwe ntchito mwa uneneri pa kukhumudwa koyamba. Iye anapereka mboni yachitatu ya kapangidwe ka mbiriyo mwa kuwaŵuza kuti adikire mu Yerusalemu kufikira atalandira mphamvu yochokera Kumwamba.</w:t>
      </w:r>
    </w:p>
    <w:p>
      <w:pPr>
        <w:pStyle w:val="ArticleScripture"/>
        <w:jc w:val="left"/>
      </w:pPr>
      <w:r>
        <w:rPr>
          <w:rFonts w:ascii="Times New Roman" w:hAnsi="Times New Roman" w:eastAsia="Times New Roman" w:cs="Times New Roman"/>
        </w:rPr>
        <w:t>Nya a me wɔn sɛ: Saa na wɔakyerɛw no, na saa ara na ɛsɛ sɛ Kristo hu amane, na ɔsɔre fi awufo mu da a ɛto so abiɛsa no; na wɔmfa adwensakra ne bɔnefakyɛ nka ne din mu nkyerɛ amanaman nyinaa, efi Yerusalem ase. Na mo yɛ eyinom ho adansefo. Na hwɛ, meresoma m’Agya bɔhyɛ no mabɛgu mo so; na montena kurow no mu, Yerusalem, kosi sɛ wɔde tumi a efi soro bɛhyɛ mo. Na ɔde wɔn kɔɔ anim koduu Betania, na ɔmaa ne nsa so, na ohyiraa wɔn. Na ɛbaa sɛ, bere a ɔrehyira wɔn no, ɔtetew ne ho fii wɔn ho, na wɔsoa no kɔɔ ɔsoro. Na wɔsɔree no, na wɔsan kɔɔ Yerusalem anigye kɛse mu; na daa na wɔwɔ asɔredan no mu, reyɛ Onyankopɔn ayeyi na rehyira no. Amen. Luka 24:46–53.</w:t>
      </w:r>
    </w:p>
    <w:p>
      <w:pPr>
        <w:pStyle w:val="ArticleBody"/>
        <w:jc w:val="left"/>
      </w:pPr>
      <w:r>
        <w:rPr>
          <w:rFonts w:ascii="Times New Roman" w:hAnsi="Times New Roman" w:eastAsia="Times New Roman" w:cs="Times New Roman"/>
        </w:rPr>
        <w:t>Tok save bilong ol disaipel long rot i go long Emeas i makim wanpela taim bilong wet i stat long taim bilong dai bilong Em inap long taim Em i kirap bek na go antap long Papa bilong Em. Taim bilong wet i pinis long ol disaipel bilong Emeas taim tok bilong ol samting i bin kamap long diwai kros i kamap ples klia na i stap strong long rot bilong bungim ol lain bilong ol holi histri bilong bipo wantaim, lain antap long lain. Orait ol disaipel i karim dispela tok kwik tru long mak bilong ol i ken karim. Orait Jisas i bung wantaim ol eleven disaipel, na gen kaikai bilong wanpela kaikai bung i kamap long stori, lain antap long lain i yusim long pruvim dispela tok, na olsem wantaim ol disaipel bilong Emeas Em i opim save bilong ol na Em i lusim ol. Tasol bipo Em i lusim ol, Em i makim dispela histri bilong wet long Jerusalem inap long taim bilong wet i kamap pinis wantaim kamap bilong Holi Spirit long Pentikos.</w:t>
      </w:r>
    </w:p>
    <w:p>
      <w:pPr>
        <w:pStyle w:val="ArticleBody"/>
        <w:jc w:val="left"/>
      </w:pPr>
      <w:r>
        <w:rPr>
          <w:rFonts w:ascii="Times New Roman" w:hAnsi="Times New Roman" w:eastAsia="Times New Roman" w:cs="Times New Roman"/>
        </w:rPr>
        <w:t>Yesu alipowaambia wanafunzi Wake wakae Yerusalemu, huo ulikuwa mwisho wa simulizi ya njia ya kwenda Emau. Mwanzo wa simulizi hiyo uliwakilisha kukatishwa tamaa, kukafuatwa na wakati wa kungojea, kisha ufunuo wa kweli uliowakilisha ujumbe wa Kilio cha Usiku wa Manane. Ufunuo huo wa kweli ulitimizwa Kristo alipoondoa mkono Wake, uliokuwa “umeshikilia” macho ya wanafunzi. Huo ndio mwanzo wa simulizi, na sehemu ya katikati ya simulizi inarudiwa kwa simulizi iyo hiyo Kristo alipoondoa kukatishwa tamaa kwa wale wanafunzi kumi na mmoja kwa kujifunua Mwenyewe na kufungua ufahamu wao wa Neno Lake. Kisha ushuhuda wa mwisho wa muundo ule ule wa kinabii unaoanza kwa kukatishwa tamaa kwa kwanza, siyo kukatishwa tamaa kukuu.</w:t>
      </w:r>
    </w:p>
    <w:p>
      <w:pPr>
        <w:pStyle w:val="ArticleBody"/>
        <w:jc w:val="left"/>
      </w:pPr>
      <w:r>
        <w:rPr>
          <w:rFonts w:ascii="Times New Roman" w:hAnsi="Times New Roman" w:eastAsia="Times New Roman" w:cs="Times New Roman"/>
        </w:rPr>
        <w:t>Sejarah dari Emmaus hingga Pentakosta menghadirkan tiga saksi tentang kekecewaan pertama, masa penangguhan, dan Seruan Tengah Malam, namun kekecewaan yang sesungguhnya, yang merupakan penanda pada permulaan masing-masing dari ketiga saksi itu, pada kenyataannya adalah kekecewaan kedua, bukan yang pertama. Menyadari bahwa penanda yang merupakan Kekecewaan Besar dalam sejarah Millerit digunakan untuk menggambarkan kekecewaan pertama dalam sejarah Millerit merupakan hal yang esensial untuk memahami narasi yang kita dapati dalam empat pasal Injil Yohanes yang berlangsung antara perjamuan makan yang terjadi pada Perjamuan Terakhir dan penangkapan pada tengah malam di taman Getsemani. Patut diperhatikan bahwa ketika Yesus menampakkan diri kepada kesebelas murid dan makan bersama mereka, Ia bertanya, “Mengapa kamu terkejut dan mengapa timbul keragu-raguan di dalam hatimu?”</w:t>
      </w:r>
    </w:p>
    <w:p>
      <w:pPr>
        <w:pStyle w:val="ArticleBody"/>
        <w:jc w:val="left"/>
      </w:pPr>
      <w:r>
        <w:rPr>
          <w:rFonts w:ascii="Times New Roman" w:hAnsi="Times New Roman" w:eastAsia="Times New Roman" w:cs="Times New Roman"/>
        </w:rPr>
        <w:t>Selesai sahaja Dia makan Perjamuan Terakhir sebagaimana dicatat dalam kitab Yohanes, petikan yang akan kita pertimbangkan bermula dengan kata-kata Kristus kepada mereka, “Janganlah gelisah hatimu.” Dalam tempoh lima hari, mereka telah melupakan perintah itu. Yohanes pasal empat belas hingga pasal tujuh belas dalam Injil Yohanes melambangkan kekecewaan pertama pada 18 Julai 2020, yang mengantar masuk suatu masa penantian, yang membawa kepada Wahyu Yesus Kristus yang dibuka meterainya sejurus sebelum masa percubaan berakhir, dan melambangkan pekabaran Seruan Tengah Malam. Pekabaran itu mengantar masuk suatu jangka masa yang telah dilambangkan oleh pergerakan bulan ketujuh dan juga dilambangkan oleh larian deras murid-murid Emmaus ke Yerusalem pada larut malam. Sejarah itulah yang dilambangkan oleh tiga huruf Ibrani yang telah digunakan oleh Kristus untuk melambangkan diri-Nya sendiri sebagai “Kebenaran.”</w:t>
      </w:r>
    </w:p>
    <w:p>
      <w:pPr>
        <w:pStyle w:val="ArticleBody"/>
        <w:jc w:val="left"/>
      </w:pPr>
      <w:r>
        <w:rPr>
          <w:rFonts w:ascii="Times New Roman" w:hAnsi="Times New Roman" w:eastAsia="Times New Roman" w:cs="Times New Roman"/>
        </w:rPr>
        <w:t>Ka hlathar jong kine ki saw tylli ki lynnong jong u Ioannis ba ngi shem ym tang ba la ithuh ia ka kam jong U Mynsiem Bakhuid kum ki juh hi ki sienjam jong kata ka Ktien hi, hynrei ruh hangta la shem ia ka sabut kaba kham bha ban kyrshan ia ki jingkam kiba mynta la pynpaw, ba ka jingpyndep kaba khatduh jong ka khubor jong ka “Midnight Cry” mynta la nang pyni paidbah ha ka Exeter camp meeting naduh ka 12 tarik u August haduh ka 17 tarik. Ynda ka khubor ka la shah ithuh khatduh da ki riewkhuid kiba ap, ka pyrthei kan shah pynngam ha ka jingeh jong ka Sunday law katba kitei ki nongrah khubor ki leit rah ia ka khubor jingmaham kaba khatduh jong ki “last days” sha ka pyrthei kaba nang iap.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Kebenaran itu Apakah? - Nomor Tiga</dc:title>
  <dc:subject>Роҳ ба сӯи Амвоҷ</dc:subject>
  <dc:creator>Jeff Pippenger</dc:creator>
  <cp:keywords/>
  <dc:description>Generated by ArticleDigger from truth\03_truth.json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