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Den skjulte historien bak vers førti – nummer to</w:t>
      </w:r>
    </w:p>
    <w:p>
      <w:pPr>
        <w:pStyle w:val="ArticleSubtitle"/>
        <w:jc w:val="left"/>
      </w:pPr>
      <w:r>
        <w:rPr>
          <w:rFonts w:ascii="Arial" w:hAnsi="Arial" w:eastAsia="Arial" w:cs="Arial"/>
        </w:rPr>
        <w:t>USA, Patriot Act, og veien til profetisk oppfyllelse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2024-09-19</w:t>
      </w:r>
    </w:p>
    <w:p>
      <w:pPr>
        <w:pStyle w:val="ArticleBody"/>
        <w:jc w:val="left"/>
      </w:pPr>
      <w:r>
        <w:rPr>
          <w:rFonts w:ascii="Times New Roman" w:hAnsi="Times New Roman" w:eastAsia="Times New Roman" w:cs="Times New Roman"/>
        </w:rPr>
        <w:t>Vi avsluttet den forrige artikkelen med setningen som lød: «I 2001 gjorde De forente staters regjering Patriot Act til lov.»</w:t>
      </w:r>
    </w:p>
    <w:p>
      <w:pPr>
        <w:pStyle w:val="ArticleScripture"/>
        <w:jc w:val="left"/>
      </w:pPr>
      <w:r>
        <w:rPr>
          <w:rFonts w:ascii="Times New Roman" w:hAnsi="Times New Roman" w:eastAsia="Times New Roman" w:cs="Times New Roman"/>
        </w:rPr>
        <w:t>«Det er mange, selv blant dem som er engasjert i denne bevegelsen for håndhevelse av søndagen, som er blindet for de følger som vil komme av denne handlingen. De ser ikke at de slår direkte mot religionsfriheten. Det er mange som aldri har forstått den bibelske sabbatens krav og det falske grunnlag som søndagsinstitusjonen hviler på. Enhver bevegelse til fordel for religiøs lovgivning er i virkeligheten en innrømmelse overfor pavedømmet, som gjennom så mange tidsaldre stadig har ført krig mot samvittighetsfriheten. Søndagshelligholdelse skylder sin eksistens som en såkalt kristen institusjon til «lovløshetens mysterium»; og håndhevelsen av den vil være en faktisk anerkjennelse av de prinsipper som er selve hjørnesteinen i romerkirken. Når vår nasjon i den grad skal fornekte sitt styres grunnprinsipper at den vedtar en søndagslov, vil protestantismen ved denne handlingen slå hånd med paveriet; det vil ikke være noe annet enn å gi liv til det tyranni som lenge ivrig har ventet på sin anledning til igjen å springe fram i aktiv despotisme.» Testimonies, bind 5, 711.</w:t>
      </w:r>
    </w:p>
    <w:p>
      <w:pPr>
        <w:pStyle w:val="ArticleBody"/>
        <w:jc w:val="left"/>
      </w:pPr>
      <w:r>
        <w:rPr>
          <w:rFonts w:ascii="Times New Roman" w:hAnsi="Times New Roman" w:eastAsia="Times New Roman" w:cs="Times New Roman"/>
        </w:rPr>
        <w:t>1888 var et forbilde på 2001, og det var da Blair-lovforslaget ble fremsatt, men fordi det ikke ble vedtatt, ble det forhindret fra å tale profetisk. Det ble tegnet på år 66 e.Kr., en beleiring som ble innledet og deretter på mystisk vis trukket tilbake. Når det forstås at det er to prøveperioder knyttet til dyrets bilde, og at den andre perioden begynner med søndagsloven i De forente stater, forbilledliggjort ved året 321, og at perioden avsluttes når verdens søndagslov, forbilledliggjort ved 538, blir fullt håndhevet, da krever det profetisk at begynnelsen på den første prøveperioden knyttet til dyrets bilde også innledes med en eller annen form for forbilledliggjøring av at en søndagslov blir forkynt. I 1888 var Blair-lovforslaget et forsøk på å håndheve en nasjonal søndagslov, og 1888 identifiserer når engelen i Åpenbaringen atten stiger ned og opplyser jorden med sin herlighet.</w:t>
      </w:r>
    </w:p>
    <w:p>
      <w:pPr>
        <w:pStyle w:val="ArticleBody"/>
        <w:jc w:val="left"/>
      </w:pPr>
      <w:r>
        <w:rPr>
          <w:rFonts w:ascii="Times New Roman" w:hAnsi="Times New Roman" w:eastAsia="Times New Roman" w:cs="Times New Roman"/>
        </w:rPr>
        <w:t>Patriot Act er en typifisering av en søndagslov som innleder bildet av dyret sin prøvetid i De forente stater. De forente stater taler som en drage i oppfyllelse av Åpenbaringen kapittel tretten, vers elleve, når det håndhever søndagsloven. Når det håndhever den loven, vil det tale som en drage, og den søndagsloven viser at bildet av dyret er fullt ut formet i De forente stater. På det tidspunkt har De forente stater fylt sitt prøvetidsbeger, og nasjonalt frafall etterfølges av nasjonal undergang. På det tidspunkt opphører De forente stater å være det sjette riket i Bibelens profeti idet den trefoldige unionen blir opprettet.</w:t>
      </w:r>
    </w:p>
    <w:p>
      <w:pPr>
        <w:pStyle w:val="ArticleBody"/>
        <w:jc w:val="left"/>
      </w:pPr>
      <w:r>
        <w:rPr>
          <w:rFonts w:ascii="Times New Roman" w:hAnsi="Times New Roman" w:eastAsia="Times New Roman" w:cs="Times New Roman"/>
        </w:rPr>
        <w:t>Alfa og Omega fremstiller alltid enden sammen med begynnelsen, og ved begynnelsen av Amerikas forente stater var det tre ganger Amerikas forente stater profetisk talte, som markerte begynnelsen på Amerikas forente stater som det sjette riket i Bibelens profeti. Uavhengighetserklæringen i 1776, etterfulgt av Grunnloven av 1789 og deretter Alien and Sedition Acts av 1798, identifiserer de første tre gangene Amerikas forente stater profetisk talte. Hver av disse tre publikasjonene representerte Amerikas forente staters tale. Disse tre trinnene ledet til 1798, begynnelsen på Amerikas forente staters regjeringstid som det sjette riket i Bibelens profeti. De samme tre veimerkene ved begynnelsen av Amerikas forente stater representerer tre veimerker som leder til avslutningen på Amerikas forente staters regjeringstid som det sjette riket i Bibelens profeti.</w:t>
      </w:r>
    </w:p>
    <w:p>
      <w:pPr>
        <w:pStyle w:val="ArticleBody"/>
        <w:jc w:val="left"/>
      </w:pPr>
      <w:r>
        <w:rPr>
          <w:rFonts w:ascii="Times New Roman" w:hAnsi="Times New Roman" w:eastAsia="Times New Roman" w:cs="Times New Roman"/>
        </w:rPr>
        <w:t>Patriot Act er den første av tre ganger Forente Stater taler idet de nærmer seg sin avslutning som det sjette riket. Den tredje talingen, som identifiserer slutten på det sjette riket, er søndagsloven. Midt i denne historien ble Pelosi-rettssakene den 6. januar, som begynte i 2022, innledet. Rettssakene var en direkte forkastelse av de rettigheter som er nedfelt i Konstitusjonen, fordi rettssakene var av politisk karakter, og den rettslige krigføringen var ikke bare en fabrikasjon av fakta, men den var faktisk et direkte angrep på «prosessuell» og «substansiell» lov slik den er identifisert i Konstitusjonen.</w:t>
      </w:r>
    </w:p>
    <w:p>
      <w:pPr>
        <w:pStyle w:val="ArticleBody"/>
        <w:jc w:val="left"/>
      </w:pPr>
      <w:r>
        <w:rPr>
          <w:rFonts w:ascii="Times New Roman" w:hAnsi="Times New Roman" w:eastAsia="Times New Roman" w:cs="Times New Roman"/>
        </w:rPr>
        <w:t>Patriot Act i 2001 var et direkte angrep på «Due Process Clause», som finnes både i det femte grunnlovstillegget og i det fjortende grunnlovstillegget til USAs grunnlov. Disse fastslår at ingen kan fratas liv, frihet eller eiendom uten rettslig tilbørlig prosess. Det var i 2001, og i 2022 var angrepet mot grunnloven rettet mot både «procedural due process» og «substantive due process». Ordet «repudiate» betyr å fornekte, og søster White påpeker at ved søndagsloven i De forente stater vil ethvert prinsipp i grunnloven bli fornektet.</w:t>
      </w:r>
    </w:p>
    <w:p>
      <w:pPr>
        <w:pStyle w:val="ArticleScripture"/>
        <w:jc w:val="left"/>
      </w:pPr>
      <w:r>
        <w:rPr>
          <w:rFonts w:ascii="Times New Roman" w:hAnsi="Times New Roman" w:eastAsia="Times New Roman" w:cs="Times New Roman"/>
        </w:rPr>
        <w:t>«Ved den forordning som håndhever pavemaktens institusjon i strid med Guds lov, vil vår nasjon fullstendig løsrive seg fra rettferdigheten. Når protestantismen skal strekke sin hånd over kløften for å gripe den romerske makts hånd, når den skal rekke over avgrunnen for å slutte hånd med spiritualismen, når vårt land, under innflytelsen av denne trefoldige union, skal forkaste ethvert prinsipp i sin grunnlov som protestantisk og republikansk styreform, og skal treffe tiltak for utbredelsen av pavens usannheter og villfarelser, da kan vi vite at tiden er kommet for Satans forunderlige virksomhet, og at enden er nær.»</w:t>
      </w:r>
    </w:p>
    <w:p>
      <w:pPr>
        <w:pStyle w:val="ArticleScripture"/>
        <w:jc w:val="left"/>
      </w:pPr>
      <w:r>
        <w:rPr>
          <w:rFonts w:ascii="Times New Roman" w:hAnsi="Times New Roman" w:eastAsia="Times New Roman" w:cs="Times New Roman"/>
        </w:rPr>
        <w:t>«Likesom de romerske hærers tilnærming var et tegn for disiplene på den forestående ødeleggelsen av Jerusalem, således kan dette frafall være et tegn for oss på at grensen for Guds langmodighet er nådd, at vårt folks misgjerningers mål er fullt, og at barmhjertighetens engel er i ferd med å ta sin flukt, aldri mer å vende tilbake. Guds folk vil da bli kastet inn i de scener av trengsel og nød som profetene har beskrevet som Jakobs trengselstid. De trofaste, forfulgtes rop stiger opp til himmelen. Og liksom Abels blod ropte fra jorden, slik lyder det også røster som roper til Gud fra martyrenes graver, fra havets gravsteder, fra fjellenes huler, fra klostrenes hvelv: ‘Hvor lenge, Herre, du hellige og sanne, vil du vente med å dømme og hevne vårt blod på dem som bor på jorden?’»</w:t>
      </w:r>
    </w:p>
    <w:p>
      <w:pPr>
        <w:pStyle w:val="ArticleScripture"/>
        <w:jc w:val="left"/>
      </w:pPr>
      <w:r>
        <w:rPr>
          <w:rFonts w:ascii="Times New Roman" w:hAnsi="Times New Roman" w:eastAsia="Times New Roman" w:cs="Times New Roman"/>
        </w:rPr>
        <w:t>Herren gjør sin gjerning. Hele himmelen er i bevegelse. Hele jordens Dommer skal snart reise seg og hevde sin krenkede myndighet. Frielsens merke skal settes på de menn som holder Guds bud, som ærer Hans lov, og som nekter å ta dyrets merke eller dets bildes merke.</w:t>
      </w:r>
    </w:p>
    <w:p>
      <w:pPr>
        <w:pStyle w:val="ArticleScripture"/>
        <w:jc w:val="left"/>
      </w:pPr>
      <w:r>
        <w:rPr>
          <w:rFonts w:ascii="Times New Roman" w:hAnsi="Times New Roman" w:eastAsia="Times New Roman" w:cs="Times New Roman"/>
        </w:rPr>
        <w:t>«Gud har åpenbart hva som skal skje i de siste dager, for at Hans folk skal være beredt til å stå imot motstandens og vredens storm. De som er blitt advart om begivenhetene som ligger foran dem, skal ikke sitte i rolig forventning om den kommende storm og trøste seg med at Herren vil skjerme sine trofaste på trengselens dag. Vi skal være som menn som venter på sin Herre, ikke i passiv forventning, men i alvorlig arbeid, med urokkelig tro. Nå er det ingen tid til å la våre sinn bli oppslukt av ting av mindre betydning. Mens mennesker sover, er Satan virksomt opptatt med å ordne forholdene slik at Herrens folk ikke skal få barmhjertighet eller rettferdighet. Søndagsbevegelsen gjør nå sin fremmarsj i mørket. Lederne skjuler det egentlige stridsspørsmålet, og mange av dem som slutter seg til bevegelsen, ser ikke selv hvor understrømmen bærer hen. Dens bekjennelser er milde og tilsynelatende kristelige, men når den taler, vil den åpenbare dragens ånd. Det er vår plikt å gjøre alt som står i vår makt for å avverge den truende fare. Vi bør søke å avvæpne fordom ved å stille oss selv i et riktig lys for folket. Vi bør legge fram for dem det virkelige stridsspørsmålet og slik reise den mest virkningsfulle protest mot tiltak for å innskrenke samvittighetsfriheten. Vi bør granske Skriftene og være i stand til å gi grunnen for vår tro. Profeten sier: ‘De ugudelige skal gjøre ugudelighet, og ingen av de ugudelige skal forstå; men de vise skal forstå.’» Testimonies, bind 5, 451, 452.</w:t>
      </w:r>
    </w:p>
    <w:p>
      <w:pPr>
        <w:pStyle w:val="ArticleBody"/>
        <w:jc w:val="left"/>
      </w:pPr>
      <w:r>
        <w:rPr>
          <w:rFonts w:ascii="Times New Roman" w:hAnsi="Times New Roman" w:eastAsia="Times New Roman" w:cs="Times New Roman"/>
        </w:rPr>
        <w:t>Søster White knytter søndagsloven til flere veimerker for de siste dager, og ved å gjøre det åpenbarer hennes ord «hva som skal finne sted i de siste dager, for at Hans folk må være beredt til å stå imot motstandens og vredens storm». Derfor må de veimerkene som hun sammenstiller i dette avsnittet, undersøkes nøye. Jeg vil hevde at referansepunktet er den profetiske linjen som fokuserer på De forente staters grunnlov, sammen med nasjonens «tale» som et nært beslektet symbol.</w:t>
      </w:r>
    </w:p>
    <w:p>
      <w:pPr>
        <w:pStyle w:val="ArticleBody"/>
        <w:jc w:val="left"/>
      </w:pPr>
      <w:r>
        <w:rPr>
          <w:rFonts w:ascii="Times New Roman" w:hAnsi="Times New Roman" w:eastAsia="Times New Roman" w:cs="Times New Roman"/>
        </w:rPr>
        <w:t>Med dette mener jeg at Blair-loven i 1888, Patriot Act i 2001 og de politiske rettsforfølgelsene som ble gjennomført av demokratene og de globalistiske republikanerne fra og med 2022, hver især var en direkte fornektelse av to vesentlige elementer i Grunnloven. 1888 representerer håndhevelsen av søndagsgudstjeneste, og deretter, i 2001, overgangen fra engelsk rett til romersk rett. I 2022 ble «materiell» og «prosessuell» rett angrepet.</w:t>
      </w:r>
    </w:p>
    <w:p>
      <w:pPr>
        <w:pStyle w:val="ArticleBody"/>
        <w:jc w:val="left"/>
      </w:pPr>
      <w:r>
        <w:rPr>
          <w:rFonts w:ascii="Times New Roman" w:hAnsi="Times New Roman" w:eastAsia="Times New Roman" w:cs="Times New Roman"/>
        </w:rPr>
        <w:t>Materiell rett fastsetter enkeltpersoners og organisasjoners rettigheter og forpliktelser, mens prosessrett angir fremgangsmåten for å løse tvister og håndheve enkeltpersoners og organisasjoners rettigheter og forpliktelser. Loven definerer rettmessig eller ulovlig atferd og fastsetter straffereaksjonene for slik atferd. Materiell rett omfatter mange rettsområder, herunder strafferett, sivilrett og kontraktsrett.</w:t>
      </w:r>
    </w:p>
    <w:p>
      <w:pPr>
        <w:pStyle w:val="ArticleBody"/>
        <w:jc w:val="left"/>
      </w:pPr>
      <w:r>
        <w:rPr>
          <w:rFonts w:ascii="Times New Roman" w:hAnsi="Times New Roman" w:eastAsia="Times New Roman" w:cs="Times New Roman"/>
        </w:rPr>
        <w:t>Strafferetten er et utmerket eksempel på materiell rett. Strafferetten definerer hvilke handlinger som anses som straffbare, og hvilke straffer som gjelder for disse forbrytelsene. Sivilretten derimot regulerer tvister mellom enkeltpersoner og organisasjoner, slik som kontraktsbrudd, personskade eller eiendomstvister.</w:t>
      </w:r>
    </w:p>
    <w:p>
      <w:pPr>
        <w:pStyle w:val="ArticleBody"/>
        <w:jc w:val="left"/>
      </w:pPr>
      <w:r>
        <w:rPr>
          <w:rFonts w:ascii="Times New Roman" w:hAnsi="Times New Roman" w:eastAsia="Times New Roman" w:cs="Times New Roman"/>
        </w:rPr>
        <w:t>Materiell rett er vanligvis nedfelt i lover, forskrifter og rettspraksis. Lover er rettsregler vedtatt av lovgivende organer, som nasjonalforsamlinger eller delstatslovgivende forsamlinger, og forskrifter er regler og prosedyrer utarbeidet av forvaltningsorganer. Rettspraksis er den retten dommere skaper gjennom sin tolkning av lover, forskrifter og Grunnloven.</w:t>
      </w:r>
    </w:p>
    <w:p>
      <w:pPr>
        <w:pStyle w:val="ArticleBody"/>
        <w:jc w:val="left"/>
      </w:pPr>
      <w:r>
        <w:rPr>
          <w:rFonts w:ascii="Times New Roman" w:hAnsi="Times New Roman" w:eastAsia="Times New Roman" w:cs="Times New Roman"/>
        </w:rPr>
        <w:t>Prosessrett viser til de regler som styrer den rettslige prosessen. Den angir hvordan saker beveger seg gjennom rettssystemet, fra den første inngivelsen av en klage til den endelige avgjørelsen. Prosessrett omfatter ulike rettsområder, herunder sivilprosess, straffeprosess og forvaltningsprosedyrer. Formålet med prosessretten er å sikre at den rettslige prosessen er rettferdig og effektiv. Den gir en ramme for løsning av tvister og sikrer at alle som er involvert i den rettslige prosessen, herunder dommere, advokater og parter, vet hva som forventes av dem.</w:t>
      </w:r>
    </w:p>
    <w:p>
      <w:pPr>
        <w:pStyle w:val="ArticleBody"/>
        <w:jc w:val="left"/>
      </w:pPr>
      <w:r>
        <w:rPr>
          <w:rFonts w:ascii="Times New Roman" w:hAnsi="Times New Roman" w:eastAsia="Times New Roman" w:cs="Times New Roman"/>
        </w:rPr>
        <w:t>Materiell rett og prosessrett er ment å virke sammen for å sikre at rettferdigheten skjer fyllest. Materiell rett fastsetter individers og organisasjoners rettigheter og plikter, mens prosessrett angir fremgangsmåten for å løse tvister og håndheve disse rettighetene og pliktene. Med andre ord fastsetter materiell rett hva som er lovlig eller ulovlig atferd, og følgene av ulovlig atferd, mens prosessrett angir hvordan disse rettslige spørsmålene blir avgjort.</w:t>
      </w:r>
    </w:p>
    <w:p>
      <w:pPr>
        <w:pStyle w:val="ArticleBody"/>
        <w:jc w:val="left"/>
      </w:pPr>
      <w:r>
        <w:rPr>
          <w:rFonts w:ascii="Times New Roman" w:hAnsi="Times New Roman" w:eastAsia="Times New Roman" w:cs="Times New Roman"/>
        </w:rPr>
        <w:t>I 2001 opphevet Patriot Act retten til habeas corpus. «Habeas corpus» er et latinsk uttrykk som kan oversettes med «du skal ha legemet». Det viser til et rettsprinsipp som beskytter enkeltpersoner mot ulovlig frihetsberøvelse ved å kreve at en domstol prøver lovligheten av en persons fengsling. Habeas corpus er en grunnleggende rettighet i mange rettssystemer, særlig i dem som er påvirket av engelsk common law. Den sikrer at en person ikke kan holdes i varetekt uten rettmessig grunn, og gir vedkommende adgang til å få lovligheten av frihetsberøvelsen prøvet for en dommer.</w:t>
      </w:r>
    </w:p>
    <w:p>
      <w:pPr>
        <w:pStyle w:val="ArticleBody"/>
        <w:jc w:val="left"/>
      </w:pPr>
      <w:r>
        <w:rPr>
          <w:rFonts w:ascii="Times New Roman" w:hAnsi="Times New Roman" w:eastAsia="Times New Roman" w:cs="Times New Roman"/>
        </w:rPr>
        <w:t>En «Due Process Clause» finnes både i det femte grunnlovstillegget og i det fjortende grunnlovstillegget til USAs grunnlov. Disse fastsetter at ingen må fratas liv, frihet eller eiendom uten behørig rettsprosess. Domstolene har utviklet to grener av læren om rettsprosess: prosessuell rettssikkerhet og materiell rettssikkerhet. I 2001 ble habeas corpus med Patriot Act fjernet som en rettighet, og engelsk rett ble erstattet av romerrett. Engelsk rett fastslår at en person skal anses uskyldig inntil skyld er bevist, og romerrett fastslår at en person skal anses skyldig inntil uskyld er bevist. I Pelosi-rettssakene i 2022 ble både prosessuell og materiell rettssikkerhet trampet under fot. Både materiell rett og prosessrett ble anvendt i Pelosi-rettssakene på den stikk motsatte måten av deres tilsiktede konstitusjonelle formål.</w:t>
      </w:r>
    </w:p>
    <w:p>
      <w:pPr>
        <w:pStyle w:val="ArticleBody"/>
        <w:jc w:val="left"/>
      </w:pPr>
      <w:r>
        <w:rPr>
          <w:rFonts w:ascii="Times New Roman" w:hAnsi="Times New Roman" w:eastAsia="Times New Roman" w:cs="Times New Roman"/>
        </w:rPr>
        <w:t>Skillet mellom materiell rettssikkerhet og prosessuell rettssikkerhet ligger i de ulike sidene ved lov og rettigheter som hvert av disse begrepene verner innenfor rammen av USAs grunnlov, særlig under rettssikkerhetsklausulene i det femte og det fjortende grunnlovstillegget.</w:t>
      </w:r>
    </w:p>
    <w:p>
      <w:pPr>
        <w:pStyle w:val="ArticleBody"/>
        <w:jc w:val="left"/>
      </w:pPr>
      <w:r>
        <w:rPr>
          <w:rFonts w:ascii="Times New Roman" w:hAnsi="Times New Roman" w:eastAsia="Times New Roman" w:cs="Times New Roman"/>
        </w:rPr>
        <w:t>Materiell rettssikkerhet gjelder de grunnleggende rettigheter og friheter som myndighetene ikke kan krenke, uansett hvilken fremgangsmåte som benyttes. Den verner visse rettigheter mot statlig innblanding selv om korrekte prosedyrer er fulgt. Materiell rettssikkerhet omfatter rettigheter som anses som grunnleggende, slik som retten til privatliv, retten til å inngå ekteskap og retten til å oppdra sine barn. Disse rettighetene er beskyttet mot statlig inngrep med mindre det foreligger en tungtveiende statlig interesse. Den fungerer som en begrensning av myndighetenes makt og sikrer at lover og forskrifter ikke krenker grunnleggende friheter.</w:t>
      </w:r>
    </w:p>
    <w:p>
      <w:pPr>
        <w:pStyle w:val="ArticleBody"/>
        <w:jc w:val="left"/>
      </w:pPr>
      <w:r>
        <w:rPr>
          <w:rFonts w:ascii="Times New Roman" w:hAnsi="Times New Roman" w:eastAsia="Times New Roman" w:cs="Times New Roman"/>
        </w:rPr>
        <w:t>Prosessuell rettssikkerhet angår de prosedyrer myndighetene må følge før de berøver et individ liv, frihet eller eiendom. Den sikrer at individer mottar rettferdig og upartisk behandling gjennom behørige rettslige prosesser. Prosessuell rettssikkerhet krever at myndighetene følger visse trinn eller prosedyrer, som å gi varsel, en rettferdig høring og anledning til å bli hørt, før de berøver noen deres rettigheter. Den fremhever de metoder hvorved lover håndheves, og sikrer at myndighetene handler på en rettferdig og upartisk måte.</w:t>
      </w:r>
    </w:p>
    <w:p>
      <w:pPr>
        <w:pStyle w:val="ArticleBody"/>
        <w:jc w:val="left"/>
      </w:pPr>
      <w:r>
        <w:rPr>
          <w:rFonts w:ascii="Times New Roman" w:hAnsi="Times New Roman" w:eastAsia="Times New Roman" w:cs="Times New Roman"/>
        </w:rPr>
        <w:t>Den rettslige krigføringen som har kommet til uttrykk siden Pelosi-rettssakene begynte, representerer en fornektelse av både materiell og prosessuell rettssikkerhet. Amerikanske borgeres grunnleggende rettigheter ble åpent og med hell nektet. Falsk flagg-operasjonene og den åpenlyse korrupsjonen i USAs bokstavbyråer har jevnlig blitt avslørt siden selv før Pelosi-rettssakene begynte, men de juridiske prosedyrene som har blitt tatt i bruk av globalistene i begge partier siden Pelosi-rettssakene begynte, representerer en klar illustrasjon av ødeleggelsen av prosessuell rettssikkerhet.</w:t>
      </w:r>
    </w:p>
    <w:p>
      <w:pPr>
        <w:pStyle w:val="ArticleBody"/>
        <w:jc w:val="left"/>
      </w:pPr>
      <w:r>
        <w:rPr>
          <w:rFonts w:ascii="Times New Roman" w:hAnsi="Times New Roman" w:eastAsia="Times New Roman" w:cs="Times New Roman"/>
        </w:rPr>
        <w:t>Tidligere i artikkelen leste vi: «Enhver bevegelse til fordel for religiøs lovgivning er i virkeligheten en innrømmelse overfor pavedømmet, som gjennom så mange tidsaldre standhaftig har ført krig mot samvittighetsfriheten. Søndagshelligholdelse skylder sin eksistens som en såkalt kristen institusjon til ‘lovløshetens mysterium’; og håndhevelsen av den vil være en faktisk anerkjennelse av de prinsipper som utgjør selve hjørnesteinen i romanismen. Når vår nasjon således forkaster sitt styres grunnprinsipper ved å vedta en søndagslov, vil protestantismen i denne handling rekke hånden til pavedømmet; det vil ikke være noe annet enn å gi liv til det tyranni som lenge ivrig har ventet på sin anledning til igjen å bryte frem i aktiv despotisme.»</w:t>
      </w:r>
    </w:p>
    <w:p>
      <w:pPr>
        <w:pStyle w:val="ArticleBody"/>
        <w:jc w:val="left"/>
      </w:pPr>
      <w:r>
        <w:rPr>
          <w:rFonts w:ascii="Times New Roman" w:hAnsi="Times New Roman" w:eastAsia="Times New Roman" w:cs="Times New Roman"/>
        </w:rPr>
        <w:t>I den historiske linjen som kan framstilles ved De forente staters grunnlov, finnes det tre bestemte veimerker som representerer et eller annet element av grunnloven både i De forente staters begynnelse og avslutning. Hvert av disse tre veimerkene er politiske handlinger, og symboliserer derfor De forente staters tale. Det tredje av disse tre veimerkene i begynnelsen, som markerte 1798, var Alien and Sedition Acts, og det tredje av disse veimerkene ved avslutningen er når De forente stater håndhever en søndagslov og taler som en drage til oppfyllelse av Åpenbaringen kapittel tretten, vers elleve.</w:t>
      </w:r>
    </w:p>
    <w:p>
      <w:pPr>
        <w:pStyle w:val="ArticleBody"/>
        <w:jc w:val="left"/>
      </w:pPr>
      <w:r>
        <w:rPr>
          <w:rFonts w:ascii="Times New Roman" w:hAnsi="Times New Roman" w:eastAsia="Times New Roman" w:cs="Times New Roman"/>
        </w:rPr>
        <w:t>De forente staters profetiske historie begynner idet det, slik det er fremstilt ved jorden, åpnet sin munn og slukte opp flommen av dragens forfølgelse.</w:t>
      </w:r>
    </w:p>
    <w:p>
      <w:pPr>
        <w:pStyle w:val="ArticleScripture"/>
        <w:jc w:val="left"/>
      </w:pPr>
      <w:r>
        <w:rPr>
          <w:rFonts w:ascii="Times New Roman" w:hAnsi="Times New Roman" w:eastAsia="Times New Roman" w:cs="Times New Roman"/>
        </w:rPr>
        <w:t>Og slangen kastet vann ut av sin munn som en flom etter kvinnen, for at han skulle få henne revet med av flommen. Og jorden hjalp kvinnen, og jorden åpnet sin munn og slukte flommen som dragen hadde kastet ut av sin munn. Åpenbaringen 12:15, 16.</w:t>
      </w:r>
    </w:p>
    <w:p>
      <w:pPr>
        <w:pStyle w:val="ArticleBody"/>
        <w:jc w:val="left"/>
      </w:pPr>
      <w:r>
        <w:rPr>
          <w:rFonts w:ascii="Times New Roman" w:hAnsi="Times New Roman" w:eastAsia="Times New Roman" w:cs="Times New Roman"/>
        </w:rPr>
        <w:t>I 1776 oppslukte dyret som skulle stige opp av jorden, og til sist bli det sjette riket i Bibelens profeti i 1798, forfølgelsens flom mot Guds folk ved å opprette en nasjon med en grunnlov som protesterte mot tyrannene i Europas kongedømmer og tyrannene i den pavelige kirke.</w:t>
      </w:r>
    </w:p>
    <w:p>
      <w:pPr>
        <w:pStyle w:val="ArticleBody"/>
        <w:jc w:val="left"/>
      </w:pPr>
      <w:r>
        <w:rPr>
          <w:rFonts w:ascii="Times New Roman" w:hAnsi="Times New Roman" w:eastAsia="Times New Roman" w:cs="Times New Roman"/>
        </w:rPr>
        <w:t>Uavhengighetserklæringen i 1776 var et forbilde på Patriot Act av 2001. Grunnloven av 1789 var et forbilde på Pelosi-rettssakene som begynte i 2022. Alien and Sedition Acts av 1798 var et forbilde på søndagsloven i USA.</w:t>
      </w:r>
    </w:p>
    <w:p>
      <w:pPr>
        <w:pStyle w:val="ArticleBody"/>
        <w:jc w:val="left"/>
      </w:pPr>
      <w:r>
        <w:rPr>
          <w:rFonts w:ascii="Times New Roman" w:hAnsi="Times New Roman" w:eastAsia="Times New Roman" w:cs="Times New Roman"/>
        </w:rPr>
        <w:t>Uavhengighetserklæringen fra de amerikanske patriotene i 1776 representerte kunngjøringen om tapet av uavhengighet med Patriot Act av 2001. Grunnloven av 1789 representerte Pelosi-rettssakene som begynner i 2022. Alien and Sedition Acts representerer søndagsloven. Historien om forkastelsen av hvert eneste prinsipp i Grunnloven representerer en gradvis omstyrtelse av Grunnloven som ender ved søndagsloven.</w:t>
      </w:r>
    </w:p>
    <w:p>
      <w:pPr>
        <w:pStyle w:val="ArticleBody"/>
        <w:jc w:val="left"/>
      </w:pPr>
      <w:r>
        <w:rPr>
          <w:rFonts w:ascii="Times New Roman" w:hAnsi="Times New Roman" w:eastAsia="Times New Roman" w:cs="Times New Roman"/>
        </w:rPr>
        <w:t>Disse linjene stemmer alle overens i den skjulte historien i vers førti i Daniel kapittel elleve. I denne artikkelen siterte vi fire avsnitt fra Testimonies, bind 5, 451, 452.</w:t>
      </w:r>
    </w:p>
    <w:p>
      <w:pPr>
        <w:pStyle w:val="ArticleBody"/>
        <w:jc w:val="left"/>
      </w:pPr>
      <w:r>
        <w:rPr>
          <w:rFonts w:ascii="Times New Roman" w:hAnsi="Times New Roman" w:eastAsia="Times New Roman" w:cs="Times New Roman"/>
        </w:rPr>
        <w:t>Vi vil se nærmere på disse avsnittene i den neste artikkelen.</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 skjulte historien bak vers førti – nummer to</dc:title>
  <dc:subject>USA, Patriot Act, og veien til profetisk oppfyllelse</dc:subject>
  <dc:creator>Jeff Pippenger</dc:creator>
  <cp:keywords/>
  <dc:description>Generated by ArticleDigger from hidden_history\02_hidden_history.json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