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کتابِ دانیال — نمبر ایک سو</w:t>
      </w:r>
    </w:p>
    <w:p>
      <w:pPr>
        <w:pStyle w:val="ArticleSubtitle"/>
        <w:jc w:val="right"/>
        <w:bidi w:val="1"/>
      </w:pPr>
      <w:r>
        <w:rPr>
          <w:rFonts w:ascii="Segoe UI" w:hAnsi="Segoe UI" w:eastAsia="Segoe UI" w:cs="Segoe UI"/>
          <w:rtl w:val="1"/>
        </w:rPr>
        <w:t>توثیق به‌وسیلهٔ ایمان: تحلیلی تاریخی از ارتداد در پروتستانتیسم</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2024-02-29</w:t>
      </w:r>
    </w:p>
    <w:p>
      <w:pPr>
        <w:pStyle w:val="ArticleBody"/>
        <w:jc w:val="right"/>
        <w:bidi w:val="1"/>
      </w:pPr>
      <w:r>
        <w:rPr>
          <w:rFonts w:ascii="Segoe UI" w:hAnsi="Segoe UI" w:eastAsia="Segoe UI" w:cs="Segoe UI"/>
          <w:rtl w:val="1"/>
        </w:rPr>
        <w:t>1888ء کی سرکشی کے دوران ایلڈرز جونز اور ویگنر کے ذریعے لایا گیا پیغام، درحقیقت ایمان کے وسیلہ سے راستباز ٹھہرائے جانے کا پیغام تھا۔ مرتد پروٹسٹنٹیت یہ استدلال کرتی ہے کہ صلیب پر مسیح کی موت کے ذریعے فراہم کی گئی راستبازی ایک انسان کو اُس کے گناہوں سمیت ڈھانپ لیتی ہے، لیکن اُس کا خون حقیقتاً اُس کے گناہوں کو دور نہیں کرتا۔ یہ جھوٹا عقیدہ گناہ کے ازالہ کو دوسرے آنے کے وقت تک مؤخر کر دیتا ہے، جب گنہگار پھر جادوئی طور پر تبدیل کر دیے جاتے ہیں۔ مرتد پروٹسٹنٹیت، اور 1957 سے سرکاری طور پر لاودیکیائی ایڈونٹزم، یہ دعویٰ کرتے ہیں کہ مسیح صرف اور صرف ہمارا قائم مقام ہے، لیکن ہمارا نمونہ نہیں۔ 1888 سے ایک سال پہلے، سسٹر وائٹ نے درجِ ذیل تحریر فرمایا۔</w:t>
      </w:r>
    </w:p>
    <w:p>
      <w:pPr>
        <w:pStyle w:val="ArticleScripture"/>
        <w:jc w:val="right"/>
        <w:bidi w:val="1"/>
      </w:pPr>
      <w:r>
        <w:rPr>
          <w:rFonts w:ascii="Segoe UI" w:hAnsi="Segoe UI" w:eastAsia="Segoe UI" w:cs="Segoe UI"/>
          <w:rtl w:val="1"/>
        </w:rPr>
        <w:t>«“Delile osun pa yexê û ruhêk nû bixe nav we de.” Ez bi hemû dilê xwe bawer im ku Ruhê Xwedê ji cîhanê tê vekişandin, û ewên ku ronahiyek mezin û derfetên mezin hebûn û wan baş bi kar neanîn, dê yekemîn bin ku bên hiştin. Wan Ruhê Xwedê xemgîn kir û ji xwe dûr xistin. Çalakiya niha ya Şeytan di xebata wî de li ser dilan, û li ser dêr û neteweyan, divê her xwendekarê pêxemberiyê bi tirs bixe. Dawî nêzîk e. Bila dêrên me rabin. Bila hêza veguherîner a Xwedê di dilê endamên takekesî de bê ezmûnkirin, û wê hingê em ê tevgera kûr a Ruhê Xwedê bibînin. Tenê bexşîna guneh ne encama yekane ya mirina Îsa ye. Wî fedayiya bêdawî ne tenê ji bo ku guneh were rakirin kir, lê jî ji bo ku tabîeta mirovî were vegerandin, ji nû ve bibe bedew, ji xwêliyên xwe were avakirinê, û ji bo amadebûna li ber hebûna Xwedê were guncawkirin….»</w:t>
      </w:r>
    </w:p>
    <w:p>
      <w:pPr>
        <w:pStyle w:val="ArticleScripture"/>
        <w:jc w:val="right"/>
        <w:bidi w:val="1"/>
      </w:pPr>
      <w:r>
        <w:rPr>
          <w:rFonts w:ascii="Segoe UI" w:hAnsi="Segoe UI" w:eastAsia="Segoe UI" w:cs="Segoe UI"/>
          <w:rtl w:val="1"/>
        </w:rPr>
        <w:t>«مسیح همان نردبانی است که یعقوب دید؛ نردبانی که پایه‌اش بر زمین قرار داشت و بالاترین پله‌اش به اعلیٰ آسمان‌ها می‌رسید. این، طریق مقرّر نجات را نشان می‌دهد. ما باید پله‌به‌پله از این نردبان بالا رویم. اگر سرانجام هر یک از ما نجات یابد، این نجات از آن رو خواهد بود که همچون پله‌های نردبان، به عیسی چنگ زده است. مسیح برای ایماندار، حکمت و عدالت و تقدیس و فدیه ساخته شده است….»</w:t>
      </w:r>
    </w:p>
    <w:p>
      <w:pPr>
        <w:pStyle w:val="ArticleScripture"/>
        <w:jc w:val="right"/>
        <w:bidi w:val="1"/>
      </w:pPr>
      <w:r>
        <w:rPr>
          <w:rFonts w:ascii="Segoe UI" w:hAnsi="Segoe UI" w:eastAsia="Segoe UI" w:cs="Segoe UI"/>
          <w:rtl w:val="1"/>
        </w:rPr>
        <w:t>"انهن مان، جيڪي سمجهن ٿا ته هو سچائي سبب مضبوط بيٺل آهن، ڪي اهڙا به هوندا جيڪي ڏاڍين خوفناڪ لغزشن ۾ ڪري پوندا؛ پر انهن وٽ اها سچائي اهڙي نه آهي جيئن اها يسوع ۾ آهي. هڪ گهڙيءَ جي بيخبري ڪنهن جان کي اهڙي تباهيءَ ۾ اڇلائي سگهي ٿي، جنهن جي تلافي هرگز نٿي ٿي سگهي. هڪ گناهه ٻئي ڏانهن وٺي وڃي ٿو، ۽ ٻيو ٽئين لاءِ رستو هموار ڪري ٿو، ۽ ائين ئي اڳتي. اسان کي، خدا جا وفادار پيغامبر ٿي، هن سان لڳاتار التجا ڪرڻ گهرجي ته اسين سندس قدرت وسيلي محفوظ رکيا وڃون. جيڪڏهن اسين فرض کان هڪ انچ به هٽي وڃون ته اسان کي ان خطري ۾ پئجي وڃڻ جو انديشو آهي ته اسين گناهه جي اهڙي راهه تي هلندا وڃون، جيڪا آخرڪار هلاڪت تي پڄاڻي ڪري ٿي. اسان مان هر هڪ لاءِ اميد آهي، پر فقط هڪ ئي راهه ۾—مسيح سان پاڻ کي مضبوط ٻڌي ڇڏڻ ۾، ۽ سندس سيرت جي ڪمال تائين پهچڻ لاءِ هر قوت ڪم ۾ آڻڻ ۾."</w:t>
      </w:r>
    </w:p>
    <w:p>
      <w:pPr>
        <w:pStyle w:val="ArticleScripture"/>
        <w:jc w:val="right"/>
        <w:bidi w:val="1"/>
      </w:pPr>
      <w:r>
        <w:rPr>
          <w:rFonts w:ascii="Segoe UI" w:hAnsi="Segoe UI" w:eastAsia="Segoe UI" w:cs="Segoe UI"/>
          <w:rtl w:val="1"/>
        </w:rPr>
        <w:t>“</w:t>
      </w:r>
      <w:r>
        <w:rPr>
          <w:rFonts w:ascii="Nirmala UI" w:hAnsi="Nirmala UI" w:eastAsia="Nirmala UI" w:cs="Nirmala UI"/>
          <w:rtl w:val="1"/>
        </w:rPr>
        <w:t>यह</w:t>
      </w:r>
      <w:r>
        <w:rPr>
          <w:rFonts w:ascii="Segoe UI" w:hAnsi="Segoe UI" w:eastAsia="Segoe UI" w:cs="Segoe UI"/>
          <w:rtl w:val="1"/>
        </w:rPr>
        <w:t xml:space="preserve"> </w:t>
      </w:r>
      <w:r>
        <w:rPr>
          <w:rFonts w:ascii="Nirmala UI" w:hAnsi="Nirmala UI" w:eastAsia="Nirmala UI" w:cs="Nirmala UI"/>
          <w:rtl w:val="1"/>
        </w:rPr>
        <w:t>सदाचारी</w:t>
      </w:r>
      <w:r>
        <w:rPr>
          <w:rFonts w:ascii="Segoe UI" w:hAnsi="Segoe UI" w:eastAsia="Segoe UI" w:cs="Segoe UI"/>
          <w:rtl w:val="1"/>
        </w:rPr>
        <w:t>-</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धर्म</w:t>
      </w:r>
      <w:r>
        <w:rPr>
          <w:rFonts w:ascii="Segoe UI" w:hAnsi="Segoe UI" w:eastAsia="Segoe UI" w:cs="Segoe UI"/>
          <w:rtl w:val="1"/>
        </w:rPr>
        <w:t xml:space="preserve">, </w:t>
      </w:r>
      <w:r>
        <w:rPr>
          <w:rFonts w:ascii="Nirmala UI" w:hAnsi="Nirmala UI" w:eastAsia="Nirmala UI" w:cs="Nirmala UI"/>
          <w:rtl w:val="1"/>
        </w:rPr>
        <w:t>जो</w:t>
      </w:r>
      <w:r>
        <w:rPr>
          <w:rFonts w:ascii="Segoe UI" w:hAnsi="Segoe UI" w:eastAsia="Segoe UI" w:cs="Segoe UI"/>
          <w:rtl w:val="1"/>
        </w:rPr>
        <w:t xml:space="preserve"> </w:t>
      </w:r>
      <w:r>
        <w:rPr>
          <w:rFonts w:ascii="Nirmala UI" w:hAnsi="Nirmala UI" w:eastAsia="Nirmala UI" w:cs="Nirmala UI"/>
          <w:rtl w:val="1"/>
        </w:rPr>
        <w:t>पाप</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हल्का</w:t>
      </w:r>
      <w:r>
        <w:rPr>
          <w:rFonts w:ascii="Segoe UI" w:hAnsi="Segoe UI" w:eastAsia="Segoe UI" w:cs="Segoe UI"/>
          <w:rtl w:val="1"/>
        </w:rPr>
        <w:t xml:space="preserve"> </w:t>
      </w:r>
      <w:r>
        <w:rPr>
          <w:rFonts w:ascii="Nirmala UI" w:hAnsi="Nirmala UI" w:eastAsia="Nirmala UI" w:cs="Nirmala UI"/>
          <w:rtl w:val="1"/>
        </w:rPr>
        <w:t>ठहराता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जो</w:t>
      </w:r>
      <w:r>
        <w:rPr>
          <w:rFonts w:ascii="Segoe UI" w:hAnsi="Segoe UI" w:eastAsia="Segoe UI" w:cs="Segoe UI"/>
          <w:rtl w:val="1"/>
        </w:rPr>
        <w:t xml:space="preserve"> </w:t>
      </w:r>
      <w:r>
        <w:rPr>
          <w:rFonts w:ascii="Nirmala UI" w:hAnsi="Nirmala UI" w:eastAsia="Nirmala UI" w:cs="Nirmala UI"/>
          <w:rtl w:val="1"/>
        </w:rPr>
        <w:t>निरंतर</w:t>
      </w:r>
      <w:r>
        <w:rPr>
          <w:rFonts w:ascii="Segoe UI" w:hAnsi="Segoe UI" w:eastAsia="Segoe UI" w:cs="Segoe UI"/>
          <w:rtl w:val="1"/>
        </w:rPr>
        <w:t xml:space="preserve"> </w:t>
      </w:r>
      <w:r>
        <w:rPr>
          <w:rFonts w:ascii="Nirmala UI" w:hAnsi="Nirmala UI" w:eastAsia="Nirmala UI" w:cs="Nirmala UI"/>
          <w:rtl w:val="1"/>
        </w:rPr>
        <w:t>पापी</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प्रति</w:t>
      </w:r>
      <w:r>
        <w:rPr>
          <w:rFonts w:ascii="Segoe UI" w:hAnsi="Segoe UI" w:eastAsia="Segoe UI" w:cs="Segoe UI"/>
          <w:rtl w:val="1"/>
        </w:rPr>
        <w:t xml:space="preserve"> </w:t>
      </w:r>
      <w:r>
        <w:rPr>
          <w:rFonts w:ascii="Nirmala UI" w:hAnsi="Nirmala UI" w:eastAsia="Nirmala UI" w:cs="Nirmala UI"/>
          <w:rtl w:val="1"/>
        </w:rPr>
        <w:t>परमेश्वर</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प्रेम</w:t>
      </w:r>
      <w:r>
        <w:rPr>
          <w:rFonts w:ascii="Segoe UI" w:hAnsi="Segoe UI" w:eastAsia="Segoe UI" w:cs="Segoe UI"/>
          <w:rtl w:val="1"/>
        </w:rPr>
        <w:t xml:space="preserve"> </w:t>
      </w:r>
      <w:r>
        <w:rPr>
          <w:rFonts w:ascii="Nirmala UI" w:hAnsi="Nirmala UI" w:eastAsia="Nirmala UI" w:cs="Nirmala UI"/>
          <w:rtl w:val="1"/>
        </w:rPr>
        <w:t>पर</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मन</w:t>
      </w:r>
      <w:r>
        <w:rPr>
          <w:rFonts w:ascii="Segoe UI" w:hAnsi="Segoe UI" w:eastAsia="Segoe UI" w:cs="Segoe UI"/>
          <w:rtl w:val="1"/>
        </w:rPr>
        <w:t xml:space="preserve"> </w:t>
      </w:r>
      <w:r>
        <w:rPr>
          <w:rFonts w:ascii="Nirmala UI" w:hAnsi="Nirmala UI" w:eastAsia="Nirmala UI" w:cs="Nirmala UI"/>
          <w:rtl w:val="1"/>
        </w:rPr>
        <w:t>लगाए</w:t>
      </w:r>
      <w:r>
        <w:rPr>
          <w:rFonts w:ascii="Segoe UI" w:hAnsi="Segoe UI" w:eastAsia="Segoe UI" w:cs="Segoe UI"/>
          <w:rtl w:val="1"/>
        </w:rPr>
        <w:t xml:space="preserve"> </w:t>
      </w:r>
      <w:r>
        <w:rPr>
          <w:rFonts w:ascii="Nirmala UI" w:hAnsi="Nirmala UI" w:eastAsia="Nirmala UI" w:cs="Nirmala UI"/>
          <w:rtl w:val="1"/>
        </w:rPr>
        <w:t>रहता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पापी</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यह</w:t>
      </w:r>
      <w:r>
        <w:rPr>
          <w:rFonts w:ascii="Segoe UI" w:hAnsi="Segoe UI" w:eastAsia="Segoe UI" w:cs="Segoe UI"/>
          <w:rtl w:val="1"/>
        </w:rPr>
        <w:t xml:space="preserve"> </w:t>
      </w:r>
      <w:r>
        <w:rPr>
          <w:rFonts w:ascii="Nirmala UI" w:hAnsi="Nirmala UI" w:eastAsia="Nirmala UI" w:cs="Nirmala UI"/>
          <w:rtl w:val="1"/>
        </w:rPr>
        <w:t>विश्वास</w:t>
      </w:r>
      <w:r>
        <w:rPr>
          <w:rFonts w:ascii="Segoe UI" w:hAnsi="Segoe UI" w:eastAsia="Segoe UI" w:cs="Segoe UI"/>
          <w:rtl w:val="1"/>
        </w:rPr>
        <w:t xml:space="preserve"> </w:t>
      </w:r>
      <w:r>
        <w:rPr>
          <w:rFonts w:ascii="Nirmala UI" w:hAnsi="Nirmala UI" w:eastAsia="Nirmala UI" w:cs="Nirmala UI"/>
          <w:rtl w:val="1"/>
        </w:rPr>
        <w:t>करने</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लिए</w:t>
      </w:r>
      <w:r>
        <w:rPr>
          <w:rFonts w:ascii="Segoe UI" w:hAnsi="Segoe UI" w:eastAsia="Segoe UI" w:cs="Segoe UI"/>
          <w:rtl w:val="1"/>
        </w:rPr>
        <w:t xml:space="preserve"> </w:t>
      </w:r>
      <w:r>
        <w:rPr>
          <w:rFonts w:ascii="Nirmala UI" w:hAnsi="Nirmala UI" w:eastAsia="Nirmala UI" w:cs="Nirmala UI"/>
          <w:rtl w:val="1"/>
        </w:rPr>
        <w:t>प्रोत्साहित</w:t>
      </w:r>
      <w:r>
        <w:rPr>
          <w:rFonts w:ascii="Segoe UI" w:hAnsi="Segoe UI" w:eastAsia="Segoe UI" w:cs="Segoe UI"/>
          <w:rtl w:val="1"/>
        </w:rPr>
        <w:t xml:space="preserve"> </w:t>
      </w:r>
      <w:r>
        <w:rPr>
          <w:rFonts w:ascii="Nirmala UI" w:hAnsi="Nirmala UI" w:eastAsia="Nirmala UI" w:cs="Nirmala UI"/>
          <w:rtl w:val="1"/>
        </w:rPr>
        <w:t>करता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परमेश्वर</w:t>
      </w:r>
      <w:r>
        <w:rPr>
          <w:rFonts w:ascii="Segoe UI" w:hAnsi="Segoe UI" w:eastAsia="Segoe UI" w:cs="Segoe UI"/>
          <w:rtl w:val="1"/>
        </w:rPr>
        <w:t xml:space="preserve"> </w:t>
      </w:r>
      <w:r>
        <w:rPr>
          <w:rFonts w:ascii="Nirmala UI" w:hAnsi="Nirmala UI" w:eastAsia="Nirmala UI" w:cs="Nirmala UI"/>
          <w:rtl w:val="1"/>
        </w:rPr>
        <w:t>उसे</w:t>
      </w:r>
      <w:r>
        <w:rPr>
          <w:rFonts w:ascii="Segoe UI" w:hAnsi="Segoe UI" w:eastAsia="Segoe UI" w:cs="Segoe UI"/>
          <w:rtl w:val="1"/>
        </w:rPr>
        <w:t xml:space="preserve"> </w:t>
      </w:r>
      <w:r>
        <w:rPr>
          <w:rFonts w:ascii="Nirmala UI" w:hAnsi="Nirmala UI" w:eastAsia="Nirmala UI" w:cs="Nirmala UI"/>
          <w:rtl w:val="1"/>
        </w:rPr>
        <w:t>उस</w:t>
      </w:r>
      <w:r>
        <w:rPr>
          <w:rFonts w:ascii="Segoe UI" w:hAnsi="Segoe UI" w:eastAsia="Segoe UI" w:cs="Segoe UI"/>
          <w:rtl w:val="1"/>
        </w:rPr>
        <w:t xml:space="preserve"> </w:t>
      </w:r>
      <w:r>
        <w:rPr>
          <w:rFonts w:ascii="Nirmala UI" w:hAnsi="Nirmala UI" w:eastAsia="Nirmala UI" w:cs="Nirmala UI"/>
          <w:rtl w:val="1"/>
        </w:rPr>
        <w:t>समय</w:t>
      </w:r>
      <w:r>
        <w:rPr>
          <w:rFonts w:ascii="Segoe UI" w:hAnsi="Segoe UI" w:eastAsia="Segoe UI" w:cs="Segoe UI"/>
          <w:rtl w:val="1"/>
        </w:rPr>
        <w:t xml:space="preserve"> </w:t>
      </w:r>
      <w:r>
        <w:rPr>
          <w:rFonts w:ascii="Nirmala UI" w:hAnsi="Nirmala UI" w:eastAsia="Nirmala UI" w:cs="Nirmala UI"/>
          <w:rtl w:val="1"/>
        </w:rPr>
        <w:t>भी</w:t>
      </w:r>
      <w:r>
        <w:rPr>
          <w:rFonts w:ascii="Segoe UI" w:hAnsi="Segoe UI" w:eastAsia="Segoe UI" w:cs="Segoe UI"/>
          <w:rtl w:val="1"/>
        </w:rPr>
        <w:t xml:space="preserve"> </w:t>
      </w:r>
      <w:r>
        <w:rPr>
          <w:rFonts w:ascii="Nirmala UI" w:hAnsi="Nirmala UI" w:eastAsia="Nirmala UI" w:cs="Nirmala UI"/>
          <w:rtl w:val="1"/>
        </w:rPr>
        <w:t>बचा</w:t>
      </w:r>
      <w:r>
        <w:rPr>
          <w:rFonts w:ascii="Segoe UI" w:hAnsi="Segoe UI" w:eastAsia="Segoe UI" w:cs="Segoe UI"/>
          <w:rtl w:val="1"/>
        </w:rPr>
        <w:t xml:space="preserve"> </w:t>
      </w:r>
      <w:r>
        <w:rPr>
          <w:rFonts w:ascii="Nirmala UI" w:hAnsi="Nirmala UI" w:eastAsia="Nirmala UI" w:cs="Nirmala UI"/>
          <w:rtl w:val="1"/>
        </w:rPr>
        <w:t>लेगा</w:t>
      </w:r>
      <w:r>
        <w:rPr>
          <w:rFonts w:ascii="Segoe UI" w:hAnsi="Segoe UI" w:eastAsia="Segoe UI" w:cs="Segoe UI"/>
          <w:rtl w:val="1"/>
        </w:rPr>
        <w:t xml:space="preserve"> </w:t>
      </w:r>
      <w:r>
        <w:rPr>
          <w:rFonts w:ascii="Nirmala UI" w:hAnsi="Nirmala UI" w:eastAsia="Nirmala UI" w:cs="Nirmala UI"/>
          <w:rtl w:val="1"/>
        </w:rPr>
        <w:t>जब</w:t>
      </w:r>
      <w:r>
        <w:rPr>
          <w:rFonts w:ascii="Segoe UI" w:hAnsi="Segoe UI" w:eastAsia="Segoe UI" w:cs="Segoe UI"/>
          <w:rtl w:val="1"/>
        </w:rPr>
        <w:t xml:space="preserve"> </w:t>
      </w:r>
      <w:r>
        <w:rPr>
          <w:rFonts w:ascii="Nirmala UI" w:hAnsi="Nirmala UI" w:eastAsia="Nirmala UI" w:cs="Nirmala UI"/>
          <w:rtl w:val="1"/>
        </w:rPr>
        <w:t>वह</w:t>
      </w:r>
      <w:r>
        <w:rPr>
          <w:rFonts w:ascii="Segoe UI" w:hAnsi="Segoe UI" w:eastAsia="Segoe UI" w:cs="Segoe UI"/>
          <w:rtl w:val="1"/>
        </w:rPr>
        <w:t xml:space="preserve"> </w:t>
      </w:r>
      <w:r>
        <w:rPr>
          <w:rFonts w:ascii="Nirmala UI" w:hAnsi="Nirmala UI" w:eastAsia="Nirmala UI" w:cs="Nirmala UI"/>
          <w:rtl w:val="1"/>
        </w:rPr>
        <w:t>पाप</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बना</w:t>
      </w:r>
      <w:r>
        <w:rPr>
          <w:rFonts w:ascii="Segoe UI" w:hAnsi="Segoe UI" w:eastAsia="Segoe UI" w:cs="Segoe UI"/>
          <w:rtl w:val="1"/>
        </w:rPr>
        <w:t xml:space="preserve"> </w:t>
      </w:r>
      <w:r>
        <w:rPr>
          <w:rFonts w:ascii="Nirmala UI" w:hAnsi="Nirmala UI" w:eastAsia="Nirmala UI" w:cs="Nirmala UI"/>
          <w:rtl w:val="1"/>
        </w:rPr>
        <w:t>रहता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वह</w:t>
      </w:r>
      <w:r>
        <w:rPr>
          <w:rFonts w:ascii="Segoe UI" w:hAnsi="Segoe UI" w:eastAsia="Segoe UI" w:cs="Segoe UI"/>
          <w:rtl w:val="1"/>
        </w:rPr>
        <w:t xml:space="preserve"> </w:t>
      </w:r>
      <w:r>
        <w:rPr>
          <w:rFonts w:ascii="Nirmala UI" w:hAnsi="Nirmala UI" w:eastAsia="Nirmala UI" w:cs="Nirmala UI"/>
          <w:rtl w:val="1"/>
        </w:rPr>
        <w:t>जानता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वह</w:t>
      </w:r>
      <w:r>
        <w:rPr>
          <w:rFonts w:ascii="Segoe UI" w:hAnsi="Segoe UI" w:eastAsia="Segoe UI" w:cs="Segoe UI"/>
          <w:rtl w:val="1"/>
        </w:rPr>
        <w:t xml:space="preserve"> </w:t>
      </w:r>
      <w:r>
        <w:rPr>
          <w:rFonts w:ascii="Nirmala UI" w:hAnsi="Nirmala UI" w:eastAsia="Nirmala UI" w:cs="Nirmala UI"/>
          <w:rtl w:val="1"/>
        </w:rPr>
        <w:t>पाप</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यही</w:t>
      </w:r>
      <w:r>
        <w:rPr>
          <w:rFonts w:ascii="Segoe UI" w:hAnsi="Segoe UI" w:eastAsia="Segoe UI" w:cs="Segoe UI"/>
          <w:rtl w:val="1"/>
        </w:rPr>
        <w:t xml:space="preserve"> </w:t>
      </w:r>
      <w:r>
        <w:rPr>
          <w:rFonts w:ascii="Nirmala UI" w:hAnsi="Nirmala UI" w:eastAsia="Nirmala UI" w:cs="Nirmala UI"/>
          <w:rtl w:val="1"/>
        </w:rPr>
        <w:t>वह</w:t>
      </w:r>
      <w:r>
        <w:rPr>
          <w:rFonts w:ascii="Segoe UI" w:hAnsi="Segoe UI" w:eastAsia="Segoe UI" w:cs="Segoe UI"/>
          <w:rtl w:val="1"/>
        </w:rPr>
        <w:t xml:space="preserve"> </w:t>
      </w:r>
      <w:r>
        <w:rPr>
          <w:rFonts w:ascii="Nirmala UI" w:hAnsi="Nirmala UI" w:eastAsia="Nirmala UI" w:cs="Nirmala UI"/>
          <w:rtl w:val="1"/>
        </w:rPr>
        <w:t>रीति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जिसमें</w:t>
      </w:r>
      <w:r>
        <w:rPr>
          <w:rFonts w:ascii="Segoe UI" w:hAnsi="Segoe UI" w:eastAsia="Segoe UI" w:cs="Segoe UI"/>
          <w:rtl w:val="1"/>
        </w:rPr>
        <w:t xml:space="preserve"> </w:t>
      </w:r>
      <w:r>
        <w:rPr>
          <w:rFonts w:ascii="Nirmala UI" w:hAnsi="Nirmala UI" w:eastAsia="Nirmala UI" w:cs="Nirmala UI"/>
          <w:rtl w:val="1"/>
        </w:rPr>
        <w:t>बहुत</w:t>
      </w:r>
      <w:r>
        <w:rPr>
          <w:rFonts w:ascii="Segoe UI" w:hAnsi="Segoe UI" w:eastAsia="Segoe UI" w:cs="Segoe UI"/>
          <w:rtl w:val="1"/>
        </w:rPr>
        <w:t>-</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लोग</w:t>
      </w:r>
      <w:r>
        <w:rPr>
          <w:rFonts w:ascii="Segoe UI" w:hAnsi="Segoe UI" w:eastAsia="Segoe UI" w:cs="Segoe UI"/>
          <w:rtl w:val="1"/>
        </w:rPr>
        <w:t xml:space="preserve"> </w:t>
      </w:r>
      <w:r>
        <w:rPr>
          <w:rFonts w:ascii="Nirmala UI" w:hAnsi="Nirmala UI" w:eastAsia="Nirmala UI" w:cs="Nirmala UI"/>
          <w:rtl w:val="1"/>
        </w:rPr>
        <w:t>चल</w:t>
      </w:r>
      <w:r>
        <w:rPr>
          <w:rFonts w:ascii="Segoe UI" w:hAnsi="Segoe UI" w:eastAsia="Segoe UI" w:cs="Segoe UI"/>
          <w:rtl w:val="1"/>
        </w:rPr>
        <w:t xml:space="preserve"> </w:t>
      </w:r>
      <w:r>
        <w:rPr>
          <w:rFonts w:ascii="Nirmala UI" w:hAnsi="Nirmala UI" w:eastAsia="Nirmala UI" w:cs="Nirmala UI"/>
          <w:rtl w:val="1"/>
        </w:rPr>
        <w:t>रहे</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जो</w:t>
      </w:r>
      <w:r>
        <w:rPr>
          <w:rFonts w:ascii="Segoe UI" w:hAnsi="Segoe UI" w:eastAsia="Segoe UI" w:cs="Segoe UI"/>
          <w:rtl w:val="1"/>
        </w:rPr>
        <w:t xml:space="preserve"> </w:t>
      </w:r>
      <w:r>
        <w:rPr>
          <w:rFonts w:ascii="Nirmala UI" w:hAnsi="Nirmala UI" w:eastAsia="Nirmala UI" w:cs="Nirmala UI"/>
          <w:rtl w:val="1"/>
        </w:rPr>
        <w:t>वर्तमान</w:t>
      </w:r>
      <w:r>
        <w:rPr>
          <w:rFonts w:ascii="Segoe UI" w:hAnsi="Segoe UI" w:eastAsia="Segoe UI" w:cs="Segoe UI"/>
          <w:rtl w:val="1"/>
        </w:rPr>
        <w:t xml:space="preserve"> </w:t>
      </w:r>
      <w:r>
        <w:rPr>
          <w:rFonts w:ascii="Nirmala UI" w:hAnsi="Nirmala UI" w:eastAsia="Nirmala UI" w:cs="Nirmala UI"/>
          <w:rtl w:val="1"/>
        </w:rPr>
        <w:t>सत्य</w:t>
      </w:r>
      <w:r>
        <w:rPr>
          <w:rFonts w:ascii="Segoe UI" w:hAnsi="Segoe UI" w:eastAsia="Segoe UI" w:cs="Segoe UI"/>
          <w:rtl w:val="1"/>
        </w:rPr>
        <w:t xml:space="preserve"> </w:t>
      </w:r>
      <w:r>
        <w:rPr>
          <w:rFonts w:ascii="Nirmala UI" w:hAnsi="Nirmala UI" w:eastAsia="Nirmala UI" w:cs="Nirmala UI"/>
          <w:rtl w:val="1"/>
        </w:rPr>
        <w:t>पर</w:t>
      </w:r>
      <w:r>
        <w:rPr>
          <w:rFonts w:ascii="Segoe UI" w:hAnsi="Segoe UI" w:eastAsia="Segoe UI" w:cs="Segoe UI"/>
          <w:rtl w:val="1"/>
        </w:rPr>
        <w:t xml:space="preserve"> </w:t>
      </w:r>
      <w:r>
        <w:rPr>
          <w:rFonts w:ascii="Nirmala UI" w:hAnsi="Nirmala UI" w:eastAsia="Nirmala UI" w:cs="Nirmala UI"/>
          <w:rtl w:val="1"/>
        </w:rPr>
        <w:t>विश्वास</w:t>
      </w:r>
      <w:r>
        <w:rPr>
          <w:rFonts w:ascii="Segoe UI" w:hAnsi="Segoe UI" w:eastAsia="Segoe UI" w:cs="Segoe UI"/>
          <w:rtl w:val="1"/>
        </w:rPr>
        <w:t xml:space="preserve"> </w:t>
      </w:r>
      <w:r>
        <w:rPr>
          <w:rFonts w:ascii="Nirmala UI" w:hAnsi="Nirmala UI" w:eastAsia="Nirmala UI" w:cs="Nirmala UI"/>
          <w:rtl w:val="1"/>
        </w:rPr>
        <w:t>करने</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दावा</w:t>
      </w:r>
      <w:r>
        <w:rPr>
          <w:rFonts w:ascii="Segoe UI" w:hAnsi="Segoe UI" w:eastAsia="Segoe UI" w:cs="Segoe UI"/>
          <w:rtl w:val="1"/>
        </w:rPr>
        <w:t xml:space="preserve"> </w:t>
      </w:r>
      <w:r>
        <w:rPr>
          <w:rFonts w:ascii="Nirmala UI" w:hAnsi="Nirmala UI" w:eastAsia="Nirmala UI" w:cs="Nirmala UI"/>
          <w:rtl w:val="1"/>
        </w:rPr>
        <w:t>करते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सत्य</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उनके</w:t>
      </w:r>
      <w:r>
        <w:rPr>
          <w:rFonts w:ascii="Segoe UI" w:hAnsi="Segoe UI" w:eastAsia="Segoe UI" w:cs="Segoe UI"/>
          <w:rtl w:val="1"/>
        </w:rPr>
        <w:t xml:space="preserve"> </w:t>
      </w:r>
      <w:r>
        <w:rPr>
          <w:rFonts w:ascii="Nirmala UI" w:hAnsi="Nirmala UI" w:eastAsia="Nirmala UI" w:cs="Nirmala UI"/>
          <w:rtl w:val="1"/>
        </w:rPr>
        <w:t>जीवन</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अलग</w:t>
      </w:r>
      <w:r>
        <w:rPr>
          <w:rFonts w:ascii="Segoe UI" w:hAnsi="Segoe UI" w:eastAsia="Segoe UI" w:cs="Segoe UI"/>
          <w:rtl w:val="1"/>
        </w:rPr>
        <w:t xml:space="preserve"> </w:t>
      </w:r>
      <w:r>
        <w:rPr>
          <w:rFonts w:ascii="Nirmala UI" w:hAnsi="Nirmala UI" w:eastAsia="Nirmala UI" w:cs="Nirmala UI"/>
          <w:rtl w:val="1"/>
        </w:rPr>
        <w:t>रखा</w:t>
      </w:r>
      <w:r>
        <w:rPr>
          <w:rFonts w:ascii="Segoe UI" w:hAnsi="Segoe UI" w:eastAsia="Segoe UI" w:cs="Segoe UI"/>
          <w:rtl w:val="1"/>
        </w:rPr>
        <w:t xml:space="preserve"> </w:t>
      </w:r>
      <w:r>
        <w:rPr>
          <w:rFonts w:ascii="Nirmala UI" w:hAnsi="Nirmala UI" w:eastAsia="Nirmala UI" w:cs="Nirmala UI"/>
          <w:rtl w:val="1"/>
        </w:rPr>
        <w:t>जाता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यही</w:t>
      </w:r>
      <w:r>
        <w:rPr>
          <w:rFonts w:ascii="Segoe UI" w:hAnsi="Segoe UI" w:eastAsia="Segoe UI" w:cs="Segoe UI"/>
          <w:rtl w:val="1"/>
        </w:rPr>
        <w:t xml:space="preserve"> </w:t>
      </w:r>
      <w:r>
        <w:rPr>
          <w:rFonts w:ascii="Nirmala UI" w:hAnsi="Nirmala UI" w:eastAsia="Nirmala UI" w:cs="Nirmala UI"/>
          <w:rtl w:val="1"/>
        </w:rPr>
        <w:t>कारण</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उसमें</w:t>
      </w:r>
      <w:r>
        <w:rPr>
          <w:rFonts w:ascii="Segoe UI" w:hAnsi="Segoe UI" w:eastAsia="Segoe UI" w:cs="Segoe UI"/>
          <w:rtl w:val="1"/>
        </w:rPr>
        <w:t xml:space="preserve"> </w:t>
      </w:r>
      <w:r>
        <w:rPr>
          <w:rFonts w:ascii="Nirmala UI" w:hAnsi="Nirmala UI" w:eastAsia="Nirmala UI" w:cs="Nirmala UI"/>
          <w:rtl w:val="1"/>
        </w:rPr>
        <w:t>आत्मा</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दोषी</w:t>
      </w:r>
      <w:r>
        <w:rPr>
          <w:rFonts w:ascii="Segoe UI" w:hAnsi="Segoe UI" w:eastAsia="Segoe UI" w:cs="Segoe UI"/>
          <w:rtl w:val="1"/>
        </w:rPr>
        <w:t xml:space="preserve"> </w:t>
      </w:r>
      <w:r>
        <w:rPr>
          <w:rFonts w:ascii="Nirmala UI" w:hAnsi="Nirmala UI" w:eastAsia="Nirmala UI" w:cs="Nirmala UI"/>
          <w:rtl w:val="1"/>
        </w:rPr>
        <w:t>ठहराने</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परिवर्तित</w:t>
      </w:r>
      <w:r>
        <w:rPr>
          <w:rFonts w:ascii="Segoe UI" w:hAnsi="Segoe UI" w:eastAsia="Segoe UI" w:cs="Segoe UI"/>
          <w:rtl w:val="1"/>
        </w:rPr>
        <w:t xml:space="preserve"> </w:t>
      </w:r>
      <w:r>
        <w:rPr>
          <w:rFonts w:ascii="Nirmala UI" w:hAnsi="Nirmala UI" w:eastAsia="Nirmala UI" w:cs="Nirmala UI"/>
          <w:rtl w:val="1"/>
        </w:rPr>
        <w:t>करने</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शक्ति</w:t>
      </w:r>
      <w:r>
        <w:rPr>
          <w:rFonts w:ascii="Segoe UI" w:hAnsi="Segoe UI" w:eastAsia="Segoe UI" w:cs="Segoe UI"/>
          <w:rtl w:val="1"/>
        </w:rPr>
        <w:t xml:space="preserve"> </w:t>
      </w:r>
      <w:r>
        <w:rPr>
          <w:rFonts w:ascii="Nirmala UI" w:hAnsi="Nirmala UI" w:eastAsia="Nirmala UI" w:cs="Nirmala UI"/>
          <w:rtl w:val="1"/>
        </w:rPr>
        <w:t>अधिक</w:t>
      </w:r>
      <w:r>
        <w:rPr>
          <w:rFonts w:ascii="Segoe UI" w:hAnsi="Segoe UI" w:eastAsia="Segoe UI" w:cs="Segoe UI"/>
          <w:rtl w:val="1"/>
        </w:rPr>
        <w:t xml:space="preserve"> </w:t>
      </w:r>
      <w:r>
        <w:rPr>
          <w:rFonts w:ascii="Nirmala UI" w:hAnsi="Nirmala UI" w:eastAsia="Nirmala UI" w:cs="Nirmala UI"/>
          <w:rtl w:val="1"/>
        </w:rPr>
        <w:t>नहीं</w:t>
      </w:r>
      <w:r>
        <w:rPr>
          <w:rFonts w:ascii="Segoe UI" w:hAnsi="Segoe UI" w:eastAsia="Segoe UI" w:cs="Segoe UI"/>
          <w:rtl w:val="1"/>
        </w:rPr>
        <w:t xml:space="preserve"> </w:t>
      </w:r>
      <w:r>
        <w:rPr>
          <w:rFonts w:ascii="Nirmala UI" w:hAnsi="Nirmala UI" w:eastAsia="Nirmala UI" w:cs="Nirmala UI"/>
          <w:rtl w:val="1"/>
        </w:rPr>
        <w:t>होती।</w:t>
      </w:r>
      <w:r>
        <w:rPr>
          <w:rFonts w:ascii="Segoe UI" w:hAnsi="Segoe UI" w:eastAsia="Segoe UI" w:cs="Segoe UI"/>
          <w:rtl w:val="1"/>
        </w:rPr>
        <w:t xml:space="preserve"> </w:t>
      </w:r>
      <w:r>
        <w:rPr>
          <w:rFonts w:ascii="Nirmala UI" w:hAnsi="Nirmala UI" w:eastAsia="Nirmala UI" w:cs="Nirmala UI"/>
          <w:rtl w:val="1"/>
        </w:rPr>
        <w:t>संसार</w:t>
      </w:r>
      <w:r>
        <w:rPr>
          <w:rFonts w:ascii="Segoe UI" w:hAnsi="Segoe UI" w:eastAsia="Segoe UI" w:cs="Segoe UI"/>
          <w:rtl w:val="1"/>
        </w:rPr>
        <w:t xml:space="preserve">, </w:t>
      </w:r>
      <w:r>
        <w:rPr>
          <w:rFonts w:ascii="Nirmala UI" w:hAnsi="Nirmala UI" w:eastAsia="Nirmala UI" w:cs="Nirmala UI"/>
          <w:rtl w:val="1"/>
        </w:rPr>
        <w:t>उसकी</w:t>
      </w:r>
      <w:r>
        <w:rPr>
          <w:rFonts w:ascii="Segoe UI" w:hAnsi="Segoe UI" w:eastAsia="Segoe UI" w:cs="Segoe UI"/>
          <w:rtl w:val="1"/>
        </w:rPr>
        <w:t xml:space="preserve"> </w:t>
      </w:r>
      <w:r>
        <w:rPr>
          <w:rFonts w:ascii="Nirmala UI" w:hAnsi="Nirmala UI" w:eastAsia="Nirmala UI" w:cs="Nirmala UI"/>
          <w:rtl w:val="1"/>
        </w:rPr>
        <w:t>रीति</w:t>
      </w:r>
      <w:r>
        <w:rPr>
          <w:rFonts w:ascii="Segoe UI" w:hAnsi="Segoe UI" w:eastAsia="Segoe UI" w:cs="Segoe UI"/>
          <w:rtl w:val="1"/>
        </w:rPr>
        <w:t>-</w:t>
      </w:r>
      <w:r>
        <w:rPr>
          <w:rFonts w:ascii="Nirmala UI" w:hAnsi="Nirmala UI" w:eastAsia="Nirmala UI" w:cs="Nirmala UI"/>
          <w:rtl w:val="1"/>
        </w:rPr>
        <w:t>रिवाजों</w:t>
      </w:r>
      <w:r>
        <w:rPr>
          <w:rFonts w:ascii="Segoe UI" w:hAnsi="Segoe UI" w:eastAsia="Segoe UI" w:cs="Segoe UI"/>
          <w:rtl w:val="1"/>
        </w:rPr>
        <w:t xml:space="preserve">, </w:t>
      </w:r>
      <w:r>
        <w:rPr>
          <w:rFonts w:ascii="Nirmala UI" w:hAnsi="Nirmala UI" w:eastAsia="Nirmala UI" w:cs="Nirmala UI"/>
          <w:rtl w:val="1"/>
        </w:rPr>
        <w:t>उसकी</w:t>
      </w:r>
      <w:r>
        <w:rPr>
          <w:rFonts w:ascii="Segoe UI" w:hAnsi="Segoe UI" w:eastAsia="Segoe UI" w:cs="Segoe UI"/>
          <w:rtl w:val="1"/>
        </w:rPr>
        <w:t xml:space="preserve"> </w:t>
      </w:r>
      <w:r>
        <w:rPr>
          <w:rFonts w:ascii="Nirmala UI" w:hAnsi="Nirmala UI" w:eastAsia="Nirmala UI" w:cs="Nirmala UI"/>
          <w:rtl w:val="1"/>
        </w:rPr>
        <w:t>प्रथाओं</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उसके</w:t>
      </w:r>
      <w:r>
        <w:rPr>
          <w:rFonts w:ascii="Segoe UI" w:hAnsi="Segoe UI" w:eastAsia="Segoe UI" w:cs="Segoe UI"/>
          <w:rtl w:val="1"/>
        </w:rPr>
        <w:t xml:space="preserve"> </w:t>
      </w:r>
      <w:r>
        <w:rPr>
          <w:rFonts w:ascii="Nirmala UI" w:hAnsi="Nirmala UI" w:eastAsia="Nirmala UI" w:cs="Nirmala UI"/>
          <w:rtl w:val="1"/>
        </w:rPr>
        <w:t>फैशनों</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छोड़ने</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लिए</w:t>
      </w:r>
      <w:r>
        <w:rPr>
          <w:rFonts w:ascii="Segoe UI" w:hAnsi="Segoe UI" w:eastAsia="Segoe UI" w:cs="Segoe UI"/>
          <w:rtl w:val="1"/>
        </w:rPr>
        <w:t xml:space="preserve"> </w:t>
      </w:r>
      <w:r>
        <w:rPr>
          <w:rFonts w:ascii="Nirmala UI" w:hAnsi="Nirmala UI" w:eastAsia="Nirmala UI" w:cs="Nirmala UI"/>
          <w:rtl w:val="1"/>
        </w:rPr>
        <w:t>हर</w:t>
      </w:r>
      <w:r>
        <w:rPr>
          <w:rFonts w:ascii="Segoe UI" w:hAnsi="Segoe UI" w:eastAsia="Segoe UI" w:cs="Segoe UI"/>
          <w:rtl w:val="1"/>
        </w:rPr>
        <w:t xml:space="preserve"> </w:t>
      </w:r>
      <w:r>
        <w:rPr>
          <w:rFonts w:ascii="Nirmala UI" w:hAnsi="Nirmala UI" w:eastAsia="Nirmala UI" w:cs="Nirmala UI"/>
          <w:rtl w:val="1"/>
        </w:rPr>
        <w:t>स्नायु</w:t>
      </w:r>
      <w:r>
        <w:rPr>
          <w:rFonts w:ascii="Segoe UI" w:hAnsi="Segoe UI" w:eastAsia="Segoe UI" w:cs="Segoe UI"/>
          <w:rtl w:val="1"/>
        </w:rPr>
        <w:t xml:space="preserve">, </w:t>
      </w:r>
      <w:r>
        <w:rPr>
          <w:rFonts w:ascii="Nirmala UI" w:hAnsi="Nirmala UI" w:eastAsia="Nirmala UI" w:cs="Nirmala UI"/>
          <w:rtl w:val="1"/>
        </w:rPr>
        <w:t>आत्मा</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मांसपेशी</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पूरा</w:t>
      </w:r>
      <w:r>
        <w:rPr>
          <w:rFonts w:ascii="Segoe UI" w:hAnsi="Segoe UI" w:eastAsia="Segoe UI" w:cs="Segoe UI"/>
          <w:rtl w:val="1"/>
        </w:rPr>
        <w:t xml:space="preserve"> </w:t>
      </w:r>
      <w:r>
        <w:rPr>
          <w:rFonts w:ascii="Nirmala UI" w:hAnsi="Nirmala UI" w:eastAsia="Nirmala UI" w:cs="Nirmala UI"/>
          <w:rtl w:val="1"/>
        </w:rPr>
        <w:t>जोर</w:t>
      </w:r>
      <w:r>
        <w:rPr>
          <w:rFonts w:ascii="Segoe UI" w:hAnsi="Segoe UI" w:eastAsia="Segoe UI" w:cs="Segoe UI"/>
          <w:rtl w:val="1"/>
        </w:rPr>
        <w:t xml:space="preserve"> </w:t>
      </w:r>
      <w:r>
        <w:rPr>
          <w:rFonts w:ascii="Nirmala UI" w:hAnsi="Nirmala UI" w:eastAsia="Nirmala UI" w:cs="Nirmala UI"/>
          <w:rtl w:val="1"/>
        </w:rPr>
        <w:t>लगाना</w:t>
      </w:r>
      <w:r>
        <w:rPr>
          <w:rFonts w:ascii="Segoe UI" w:hAnsi="Segoe UI" w:eastAsia="Segoe UI" w:cs="Segoe UI"/>
          <w:rtl w:val="1"/>
        </w:rPr>
        <w:t xml:space="preserve"> </w:t>
      </w:r>
      <w:r>
        <w:rPr>
          <w:rFonts w:ascii="Nirmala UI" w:hAnsi="Nirmala UI" w:eastAsia="Nirmala UI" w:cs="Nirmala UI"/>
          <w:rtl w:val="1"/>
        </w:rPr>
        <w:t>आवश्यक</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w:t>
      </w:r>
    </w:p>
    <w:p>
      <w:pPr>
        <w:pStyle w:val="ArticleScripture"/>
        <w:jc w:val="right"/>
        <w:bidi w:val="1"/>
      </w:pPr>
      <w:r>
        <w:rPr>
          <w:rFonts w:ascii="Segoe UI" w:hAnsi="Segoe UI" w:eastAsia="Segoe UI" w:cs="Segoe UI"/>
          <w:rtl w:val="1"/>
        </w:rPr>
        <w:t>«اگر گناه را کنار بگذارید و ایمان زنده را به‌کار ببندید، غنای برکات آسمان از آنِ شما خواهد بود.» Selected Messages، جلد ۳، ۱۵۵.</w:t>
      </w:r>
    </w:p>
    <w:p>
      <w:pPr>
        <w:pStyle w:val="ArticleBody"/>
        <w:jc w:val="right"/>
        <w:bidi w:val="1"/>
      </w:pPr>
      <w:r>
        <w:rPr>
          <w:rFonts w:ascii="Segoe UI" w:hAnsi="Segoe UI" w:eastAsia="Segoe UI" w:cs="Segoe UI"/>
          <w:rtl w:val="1"/>
        </w:rPr>
        <w:t>مذهبِ کاذبِ «خوش‌اخلاقِ خوش‌نما»ی پروتستانتیسمِ مرتد، در آغازِ نسلِ چهارمِ ادونتیسم، در سال ۱۹۵۷، به‌عنوان آموزه‌ای رسمی برقرار گردید. این مذهب، تعریفی از تبرئه ارائه کرد که «گناهکار را تشویق می‌کند که باور کند خدا او را نجات خواهد داد، در حالی که او همچنان در گناه ادامه می‌دهد.» صلیب تعلیم می‌دهد که «آمرزشِ گناه تنها نتیجهٔ مرگِ عیسی نیست»، زیرا «او آن قربانیِ بی‌نهایت را تقدیم کرد، نه فقط تا گناه از میان برداشته شود، بلکه تا طبیعتِ انسانی بازگردانیده، دوباره زیبا ساخته، از ویرانه‌هایش بازسازی گردد، و برای حضورِ خدا شایسته ساخته شود.»</w:t>
      </w:r>
    </w:p>
    <w:p>
      <w:pPr>
        <w:pStyle w:val="ArticleBody"/>
        <w:jc w:val="right"/>
        <w:bidi w:val="1"/>
      </w:pPr>
      <w:r>
        <w:rPr>
          <w:rFonts w:ascii="Segoe UI" w:hAnsi="Segoe UI" w:eastAsia="Segoe UI" w:cs="Segoe UI"/>
          <w:rtl w:val="1"/>
        </w:rPr>
        <w:t>شورشِ سالِ ۱۹۵۷ نشان می‌دهد که بذرِ آن شورشی که در ۱۸۶۳ کاشته شد، و سپس در ۱۸۸۸ جوانه زد، و پس از آن به‌وسیلهٔ پیامِ جعلیِ ممثَّل در کتابِ منتشرشده در ۱۹۱۹ (تعلیمِ مسیح) آبیاری گردید، سرانجام ثمرهٔ خود را در قالبِ اعلامی آشکار به بار آورد؛ بدین معنا که «ایمانِ عادلان»ِ اصلی که به‌وسیلهٔ دو لوحِ حبقوق نمایانده شده بود، اکنون برداشته شده و با تعریفِ فاسدِ «عادل‌شمردگی به‌وسیلهٔ ایمان» که در پروتستانتیسمِ مرتد وجود دارد، جایگزین شده است. آن نبیِ نافرمان از یهودا، به جماعتِ استهزاکنندگان بازگشته و با نبیِ دروغینِ بیت‌ئیل هم‌غذا شده بود.</w:t>
      </w:r>
    </w:p>
    <w:p>
      <w:pPr>
        <w:pStyle w:val="ArticleBody"/>
        <w:jc w:val="right"/>
        <w:bidi w:val="1"/>
      </w:pPr>
      <w:r>
        <w:rPr>
          <w:rFonts w:ascii="Segoe UI" w:hAnsi="Segoe UI" w:eastAsia="Segoe UI" w:cs="Segoe UI"/>
          <w:rtl w:val="1"/>
        </w:rPr>
        <w:t>پیامی که به کلیسای لائودیکیه داده شد و نخست در سال 1856 به جنبش میلری‌ها عرضه گردید، و سپس بار دیگر در سال 1888 به کلیسای لائودیکیه ارائه شد، در هر مرحله مردود شمرده شد. آن پیام جونز و واگنر، که بنا به گفتهٔ خواهر وایت هم پیامِ لائودیکیه بود و هم پیامِ عادل‌شمردگی به‌وسیلهٔ ایمان، بر این اساس رد شد که یاغیانی که آن را رد می‌کردند، در واقع از نشانه‌های کهن دفاع می‌کنند! نشانه‌هایی که ایشان از آن دفاع می‌کردند، بنیادی بود از ساختهٔ خودِ انسان ایشان، که بر شن بنا شده است.</w:t>
      </w:r>
    </w:p>
    <w:p>
      <w:pPr>
        <w:pStyle w:val="ArticleBody"/>
        <w:jc w:val="right"/>
        <w:bidi w:val="1"/>
      </w:pPr>
      <w:r>
        <w:rPr>
          <w:rFonts w:ascii="Segoe UI" w:hAnsi="Segoe UI" w:eastAsia="Segoe UI" w:cs="Segoe UI"/>
          <w:rtl w:val="1"/>
        </w:rPr>
        <w:t>پیامِ «ایمان کے وسیلہ سے راست‌بازی»، جو 1888 میں جونز اور ویگنر نے پیش کیا، انجیلِ حقیقی کے اس حقیقت پر مشتمل تھا کہ جو راست ٹھہرائے جاتے ہیں، وہ مقدّس بھی کیے جاتے ہیں۔ اس نے اس بات پر زور دیا کہ راست ٹھہرایا جانا یہ ہے کہ انسان کو «حقیقتاً» مقدّس بنایا جائے، نہ کہ محض قانونی طور پر مقدّس «قرار» دیا جائے۔ جونز اور ویگنر کا یہ پیغام، جسے سسٹر وائٹ نے بیان کیا کہ وہ 1888 کی بغاوت سے کئی برس پہلے سے پیش کرتی آ رہی تھیں، اس امر کی نشان دہی کرتا ہے کہ جب راست‌بازی محسوب کی جاتی ہے، تو تقدیس بھی بیک وقت عطا کی جاتی ہے۔</w:t>
      </w:r>
    </w:p>
    <w:p>
      <w:pPr>
        <w:pStyle w:val="ArticleBody"/>
        <w:jc w:val="right"/>
        <w:bidi w:val="1"/>
      </w:pPr>
      <w:r>
        <w:rPr>
          <w:rFonts w:ascii="Segoe UI" w:hAnsi="Segoe UI" w:eastAsia="Segoe UI" w:cs="Segoe UI"/>
          <w:rtl w:val="1"/>
        </w:rPr>
        <w:t>چنین نمی‌تواند بود، زیرا هم توجیه و هم تقدیس به‌واسطۀ حضور روح‌القدس در مؤمن تحقق می‌یابد. توجیه و تقدیس صرفاً دو واژه‌اند که دو بُعدِ یک عمل را توصیف می‌کنند؛ عملی که به‌واسطۀ حضور روح‌القدس در درونِ مؤمن به انجام می‌رسد.</w:t>
      </w:r>
    </w:p>
    <w:p>
      <w:pPr>
        <w:pStyle w:val="ArticleBody"/>
        <w:jc w:val="right"/>
        <w:bidi w:val="1"/>
      </w:pPr>
      <w:r>
        <w:rPr>
          <w:rFonts w:ascii="Segoe UI" w:hAnsi="Segoe UI" w:eastAsia="Segoe UI" w:cs="Segoe UI"/>
          <w:rtl w:val="1"/>
        </w:rPr>
        <w:t>همان پیامی که یاغیانِ قورح آن را رد کردند، بار دیگر در سال 1856 رد شد، سپس دوباره در 1888، و آنگاه در 1957 به‌صورت علنی به‌عنوان الهیات نجاتِ ادونتیسمِ لائودیکیه‌ای رسمیت یافت. این عصیانِ پیوسته خدا را به ستوه آورد، زیرا قوم گفتند: «هر که بدی می‌کند در نظر خداوند نیکوست، و او از ایشان خشنود است»؛ یا: «خدای داوری کجاست؟»</w:t>
      </w:r>
    </w:p>
    <w:p>
      <w:pPr>
        <w:pStyle w:val="ArticleBody"/>
        <w:jc w:val="right"/>
        <w:bidi w:val="1"/>
      </w:pPr>
      <w:r>
        <w:rPr>
          <w:rFonts w:ascii="Segoe UI" w:hAnsi="Segoe UI" w:eastAsia="Segoe UI" w:cs="Segoe UI"/>
          <w:rtl w:val="1"/>
        </w:rPr>
        <w:t>گفتند: «آنان که در گناه به سر می‌برند، به خون مسیح عادل شمرده شده‌اند، و خدا از ایشان خشنود است، هرچند همچنان به گناه ادامه می‌دهند.» این همان فریب روحانی است که در پیام به لاودکیه (قومی داوری‌شده) به تصویر کشیده شده است؛ زیرا با وجود آن‌که مسیح لاودکیان را «شقی، و مسکین، و فقیر، و کور، و عریان» معرفی می‌کند، آنان بر این باورند که «دولتمندم، و توانگر شده‌ام، و به هیچ چیز محتاج نیستم.» و در همان حالت، در واقع بر آستانه آن‌اند که از دهان خداوند بیرون افکنده شوند.</w:t>
      </w:r>
    </w:p>
    <w:p>
      <w:pPr>
        <w:pStyle w:val="ArticleBody"/>
        <w:jc w:val="right"/>
        <w:bidi w:val="1"/>
      </w:pPr>
      <w:r>
        <w:rPr>
          <w:rFonts w:ascii="Segoe UI" w:hAnsi="Segoe UI" w:eastAsia="Segoe UI" w:cs="Segoe UI"/>
          <w:rtl w:val="1"/>
        </w:rPr>
        <w:t>وفادارانِ تاریخِ میلری که در سال ۱۸۴۴ تجربهٔ نخستین نومیدی را پشت سر نهاده و در آن پایدار مانده بودند—چنان‌که ارمیا در باب پانزدهم، آیات پانزده تا بیست‌ویک، آنان را همچون بنّایانِ امینِ هیکل تصویر می‌کند، که به ایشان وعده داده شده بود اگر به «مجمعِ استهزاکنندگان» بازنگردند، «دهان» خدا خواهند شد—به «مجمعِ استهزاکنندگان» بازگشتند (که با نبیِ دروغینِ بیت‌ئیل نمود یافته است) و به لائودیکیان مبدل شدند، بر آستانهٔ آن‌که از دهانِ خدا بیرون افکنده شوند، و خود از آن آگاه نیستند.</w:t>
      </w:r>
    </w:p>
    <w:p>
      <w:pPr>
        <w:pStyle w:val="ArticleBody"/>
        <w:jc w:val="right"/>
        <w:bidi w:val="1"/>
      </w:pPr>
      <w:r>
        <w:rPr>
          <w:rFonts w:ascii="Segoe UI" w:hAnsi="Segoe UI" w:eastAsia="Segoe UI" w:cs="Segoe UI"/>
          <w:rtl w:val="1"/>
        </w:rPr>
        <w:t>حالتِ اَدونتیزمِ لائودیکیه در ۱۱ سپتامبر ۲۰۰۱، به‌وسیلهٔ حالتِ پروتستان‌ها در ۱۱ اوت ۱۸۴۰ نمونه‌سازی شده بود. آن دو تاریخ نیز به‌وسیلهٔ یهودیانِ خُرده‌گیر، هنگامی که روح‌القدس در تعمیدِ مسیح نازل شد، نمونه‌سازی گردید. در هر یک از این سه تاریخ، قومی که پیش‌تر برگزیده بودند، موردِ عبور قرار گرفتند و اکنون نیز در حالِ کنار گذاشته شدن هستند. رسولِ عهد در زمانِ یحیای تعمیددهنده، می‌بایست با کسانی که پطرس ایشان را «نسلِ برگزیده» نامید، واردِ عهد شود.</w:t>
      </w:r>
    </w:p>
    <w:p>
      <w:pPr>
        <w:pStyle w:val="ArticleScripture"/>
        <w:jc w:val="right"/>
        <w:bidi w:val="1"/>
      </w:pPr>
      <w:r>
        <w:rPr>
          <w:rFonts w:ascii="Segoe UI" w:hAnsi="Segoe UI" w:eastAsia="Segoe UI" w:cs="Segoe UI"/>
          <w:rtl w:val="1"/>
        </w:rPr>
        <w:t>اما شما نسلی برگزیده، کهانتی پادشاهانه، امتی مقدس، و قومی خاص هستید، تا فضایل آن کسی را اعلام نمایید که شما را از ظلمت به نور شگفت‌انگیز خود فراخوانده است؛ شما که در زمان گذشته قومی نبودید، اما اکنون قوم خدا هستید؛ شما که رحمتی نیافته بودید، اما اکنون رحمت یافته‌اید. اول پطرس ۲:‏۹، ۱۰</w:t>
      </w:r>
    </w:p>
    <w:p>
      <w:pPr>
        <w:pStyle w:val="ArticleBody"/>
        <w:jc w:val="right"/>
        <w:bidi w:val="1"/>
      </w:pPr>
      <w:r>
        <w:rPr>
          <w:rFonts w:ascii="Segoe UI" w:hAnsi="Segoe UI" w:eastAsia="Segoe UI" w:cs="Segoe UI"/>
          <w:rtl w:val="1"/>
        </w:rPr>
        <w:t>پطرس قومِ برگزیدهٔ جدیدِ دورانِ خود را مشخص می‌کرد، که در آن زمان کلیسای مسیحی بود. آنان در دوره‌ای به‌عنوان «نسلِ برگزیده» انتخاب شده بودند که طی آن، مسیح و یحییِ تعمیددهنده هر دو قومِ برگزیدهٔ پیشین را «نسلِ افعیان» معرفی کردند.</w:t>
      </w:r>
    </w:p>
    <w:p>
      <w:pPr>
        <w:pStyle w:val="ArticleScripture"/>
        <w:jc w:val="right"/>
        <w:bidi w:val="1"/>
      </w:pPr>
      <w:r>
        <w:rPr>
          <w:rFonts w:ascii="Segoe UI" w:hAnsi="Segoe UI" w:eastAsia="Segoe UI" w:cs="Segoe UI"/>
          <w:rtl w:val="1"/>
        </w:rPr>
        <w:t>اے سانپوں کے بچو، تم بدکار ہو کر بھلا کیسے اچھی باتیں کہہ سکتے ہو؟ کیونکہ جو دل میں بھرا ہوتا ہے، وہی منہ سے نکلتا ہے۔ متی 12:34۔</w:t>
      </w:r>
    </w:p>
    <w:p>
      <w:pPr>
        <w:pStyle w:val="ArticleBody"/>
        <w:jc w:val="right"/>
        <w:bidi w:val="1"/>
      </w:pPr>
      <w:r>
        <w:rPr>
          <w:rFonts w:ascii="Segoe UI" w:hAnsi="Segoe UI" w:eastAsia="Segoe UI" w:cs="Segoe UI"/>
          <w:rtl w:val="1"/>
        </w:rPr>
        <w:t>نسلی که از آن گذشته می‌شود، «نسلِ افعیان» است؛ و این نمادی از شیطان است—خزندهٔ نبوتِ کتاب‌مقدس. آن نسلی که از آن گذشته می‌شود، پیمانهٔ زمانِ آزمایشیِ خود را پُر کرده بود، و در طی چهار نسل در خصلتِ افعی استقرار یافته بود. آنان پیشانیِ فاحشه را پرورانده بودند. از همین‌روست که آن بیست‌وپنج پیرمرد در باب هشتمِ حزقیال، حاضرند در برابر خورشید سجده کنند. آنان خصلتِ پاپیّت را پدید آورده بودند.</w:t>
      </w:r>
    </w:p>
    <w:p>
      <w:pPr>
        <w:pStyle w:val="ArticleScripture"/>
        <w:jc w:val="right"/>
        <w:bidi w:val="1"/>
      </w:pPr>
      <w:r>
        <w:rPr>
          <w:rFonts w:ascii="Segoe UI" w:hAnsi="Segoe UI" w:eastAsia="Segoe UI" w:cs="Segoe UI"/>
          <w:rtl w:val="1"/>
        </w:rPr>
        <w:t>«پیام فرشتۀ سوم به جهان فرستاده شده است تا انسان‌ها را هشدار دهد که نشانِ وحش یا تصویر او را بر پیشانی‌های خود یا بر دست‌های خود نپذیرند. دریافت این نشان به این معناست که شخص به همان تصمیمی برسد که وحش گرفته است، و همان اندیشه‌ها را در مخالفتی مستقیم با کلام خدا تأیید و تبلیغ کند.» Review and Herald، 13 ژوئیهٔ 1897.</w:t>
      </w:r>
    </w:p>
    <w:p>
      <w:pPr>
        <w:pStyle w:val="ArticleBody"/>
        <w:jc w:val="right"/>
        <w:bidi w:val="1"/>
      </w:pPr>
      <w:r>
        <w:rPr>
          <w:rFonts w:ascii="Segoe UI" w:hAnsi="Segoe UI" w:eastAsia="Segoe UI" w:cs="Segoe UI"/>
          <w:rtl w:val="1"/>
        </w:rPr>
        <w:t>نشانِ وحش، نشانِ مردِ گناه است، که همان پاپِ روم و نمایندهٔ زمینیِ شیطان می‌باشد. هم‌فکر شدن با وحش، به معنای هم‌فکر شدن با شیطان است، که به صورتِ افعی نمادپردازی شده است.</w:t>
      </w:r>
    </w:p>
    <w:p>
      <w:pPr>
        <w:pStyle w:val="ArticleScripture"/>
        <w:jc w:val="right"/>
        <w:bidi w:val="1"/>
      </w:pPr>
      <w:r>
        <w:rPr>
          <w:rFonts w:ascii="Segoe UI" w:hAnsi="Segoe UI" w:eastAsia="Segoe UI" w:cs="Segoe UI"/>
          <w:rtl w:val="1"/>
        </w:rPr>
        <w:t>«برای به‌دست آوردن منافع و افتخارات دنیوی، کلیسا برانگیخته شد تا التفات و پشتیبانی بزرگان زمین را بطلبد؛ و بدین‌سان، چون مسیح را رد کرده بود، به این کشانده شد که وفاداری خود را به نمایندۀ شیطان—اسقف روم—تسلیم کند.» نبرد عظیم، 50.</w:t>
      </w:r>
    </w:p>
    <w:p>
      <w:pPr>
        <w:pStyle w:val="ArticleBody"/>
        <w:jc w:val="right"/>
        <w:bidi w:val="1"/>
      </w:pPr>
      <w:r>
        <w:rPr>
          <w:rFonts w:ascii="Segoe UI" w:hAnsi="Segoe UI" w:eastAsia="Segoe UI" w:cs="Segoe UI"/>
          <w:rtl w:val="1"/>
        </w:rPr>
        <w:t>در آخرین نسلِ قومی که پیش‌تر برگزیده شده بودند، سیرتِ ایشان بازتابِ سیرتِ شیطان است. «نسلِ برگزیده» که در زمان‌های گذشته قومِ خدا نبودند، از طریقِ فرایندی از آزمون، پالایش و تطهیر برگزیده می‌شوند. آنان که از فرایندِ آزمون سربلند بیرون می‌آیند، برگزیده می‌شوند تا در رابطه‌ای عهدی با خدا باشند. خداوند با کلیسای مسیحی داخلِ عهد شد، سپس بارِ دیگر با ادونتیسمِ میلری، و بارِ دیگر نیز چنین می‌کند با صد و چهل و چهار هزار.</w:t>
      </w:r>
    </w:p>
    <w:p>
      <w:pPr>
        <w:pStyle w:val="ArticleBody"/>
        <w:jc w:val="right"/>
        <w:bidi w:val="1"/>
      </w:pPr>
      <w:r>
        <w:rPr>
          <w:rFonts w:ascii="Segoe UI" w:hAnsi="Segoe UI" w:eastAsia="Segoe UI" w:cs="Segoe UI"/>
          <w:rtl w:val="1"/>
        </w:rPr>
        <w:t>When the Lord enters into covenant with the newly chosen people of God (who in times past were not the people of God), He comes to them as the Messenger of the Covenant. In each of the three histories that fulfill Malachi chapter three, there is a messenger who prepares the way for the Messenger of the Covenant. The first messenger was John the Baptist, who typified the second and third messenger. The second messenger was William Miller. Together the prophetic characteristics of John the Baptist and William Miller establish the characteristics of the messenger who prepares the way for the Messenger of the Covenant to come and enter into covenant with the one hundred and forty-four thousand.</w:t>
      </w:r>
    </w:p>
    <w:p>
      <w:pPr>
        <w:pStyle w:val="ArticleBody"/>
        <w:jc w:val="right"/>
        <w:bidi w:val="1"/>
      </w:pPr>
      <w:r>
        <w:rPr>
          <w:rFonts w:ascii="Segoe UI" w:hAnsi="Segoe UI" w:eastAsia="Segoe UI" w:cs="Segoe UI"/>
          <w:rtl w:val="1"/>
        </w:rPr>
        <w:t>سه پیام‌آوری که راه را برای مسیح، که رسولِ عهد است، آماده می‌سازند تا ناگهان به هیکلِ خود بیاید، نمونه‌وار بیانگر کاری هستند که در زمانِ داوریِ تحقیقی انجام می‌پذیرد و در داوریِ اجرایی به پایان می‌رسد.</w:t>
      </w:r>
    </w:p>
    <w:p>
      <w:pPr>
        <w:pStyle w:val="ArticleScripture"/>
        <w:jc w:val="right"/>
        <w:bidi w:val="1"/>
      </w:pPr>
      <w:r>
        <w:rPr>
          <w:rFonts w:ascii="Segoe UI" w:hAnsi="Segoe UI" w:eastAsia="Segoe UI" w:cs="Segoe UI"/>
          <w:rtl w:val="1"/>
        </w:rPr>
        <w:t>«در آخرین روزهای تاریخ این زمین، عهد خدا با قوم فرمان‌نگه‌دارِ او باید تجدید شود. «و در آن روز، برای ایشان با حیوانات صحرا و با پرندگان آسمان و با خزندگان زمین عهدی خواهم بست؛ و کمان و شمشیر و جنگ را از زمین خواهم شکست، و ایشان را در امنیّت خواهم خوابانید. و تو را تا ابد به خود نامزد خواهم ساخت؛ آری، تو را در عدالت و انصاف و محبت و رحمت‌ها به خود نامزد خواهم ساخت. و تو را در وفاداری به خود نامزد خواهم ساخت؛ و خداوند را خواهی شناخت.»</w:t>
      </w:r>
    </w:p>
    <w:p>
      <w:pPr>
        <w:pStyle w:val="ArticleScripture"/>
        <w:jc w:val="right"/>
        <w:bidi w:val="1"/>
      </w:pPr>
      <w:r>
        <w:rPr>
          <w:rFonts w:ascii="Segoe UI" w:hAnsi="Segoe UI" w:eastAsia="Segoe UI" w:cs="Segoe UI"/>
          <w:rtl w:val="1"/>
        </w:rPr>
        <w:t>«و در آن روز واقع خواهد شد که من اجابت خواهم کرد، خداوند می‌گوید؛ آسمان‌ها را اجابت خواهم کرد، و آنها زمین را اجابت خواهند کرد؛ و زمین غله و شراب و روغن را اجابت خواهد کرد؛ و آنها یزرعیل را اجابت خواهند کرد. و او را برای خود در زمین خواهم کاشت؛ و بر آن که رحمت نیافته بود رحمت خواهم نمود؛ و به آنان که قوم من نبودند خواهم گفت: تو قوم من هستی؛ و ایشان خواهند گفت: تو خدای من هستی.» هوشع ۲:‏۱۴–۲۳</w:t>
      </w:r>
    </w:p>
    <w:p>
      <w:pPr>
        <w:pStyle w:val="ArticleScripture"/>
        <w:jc w:val="right"/>
        <w:bidi w:val="1"/>
      </w:pPr>
      <w:r>
        <w:rPr>
          <w:rFonts w:ascii="Segoe UI" w:hAnsi="Segoe UI" w:eastAsia="Segoe UI" w:cs="Segoe UI"/>
          <w:rtl w:val="1"/>
        </w:rPr>
        <w:t>«‘En aquel día, ... el remanente de Israel, y los que hubieren escapado de la casa de Jacob, ... se apoyarán con verdad en Jehová, el Santo de Israel.’ Isaías 10:20. De ‘toda nación, y tribu, y lengua, y pueblo’ habrá quienes respondan gozosos al mensaje: ‘Temed a Dios, y dadle gloria; porque la hora de su juicio ha llegado.’ Se apartarán de todo ídolo que los ate a esta tierra, y ‘adorarán a aquel que hizo el cielo y la tierra, el mar y las fuentes de las aguas.’ Se libertarán de todo enredo, y estarán delante del mundo como monumentos de la misericordia de Dios. Obedientes a todo requerimiento divino, serán reconocidos por ángeles y por hombres como los que ‘guardan los mandamientos de Dios, y la fe de Jesús.’ Apocalipsis 14:6–7, 12.»</w:t>
      </w:r>
    </w:p>
    <w:p>
      <w:pPr>
        <w:pStyle w:val="ArticleScripture"/>
        <w:jc w:val="right"/>
        <w:bidi w:val="1"/>
      </w:pPr>
      <w:r>
        <w:rPr>
          <w:rFonts w:ascii="Segoe UI" w:hAnsi="Segoe UI" w:eastAsia="Segoe UI" w:cs="Segoe UI"/>
          <w:rtl w:val="1"/>
        </w:rPr>
        <w:t>«“اینک ایامی می‌آید، می‌گوید خداوند، که شخم‌زن به دروگر خواهد رسید، و انگورفشار به آن که بذر می‌افشاند؛ و کوه‌ها شرابِ شیرین خواهند چکانید، و همهٔ تپه‌ها ذوب خواهند شد. و اسیریِ قوم خود، اسرائیل، را باز خواهم گردانید [معکوس خواهم کرد]، و ایشان شهرهای ویران را بنا خواهند نمود و در آنها ساکن خواهند شد؛ و تاکستان‌ها غرس خواهند کرد و شراب آنها را خواهند نوشید؛ باغ‌ها نیز خواهند ساخت و میوهٔ آنها را خواهند خورد. و ایشان را بر زمینشان خواهم نشاند، و دیگر هرگز از زمینی که به ایشان داده‌ام کنده نخواهند شد، می‌گوید یهوه، خدای تو. عاموس ۹:۱۳–۱۵.»” Review and Herald, February 26, 1914.</w:t>
      </w:r>
    </w:p>
    <w:p>
      <w:pPr>
        <w:pStyle w:val="ArticleBody"/>
        <w:jc w:val="right"/>
        <w:bidi w:val="1"/>
      </w:pPr>
      <w:r>
        <w:rPr>
          <w:rFonts w:ascii="Segoe UI" w:hAnsi="Segoe UI" w:eastAsia="Segoe UI" w:cs="Segoe UI"/>
          <w:rtl w:val="1"/>
        </w:rPr>
        <w:t>ملاکی بابِ سوم مسیح کے زمانہ میں اور ملرائیوں کے زمانہ میں پورا ہوا، اور یہ دونوں تواریخ آخری ایّام میں اس کی تکمیل کی نشان دہی کرتی ہیں۔ سسٹر وائٹ ملاکی بابِ سوم کی تکمیل کو مسیح کے ہیکل کو پاک کرنے کے کام کے ساتھ مربوط کرتی ہیں۔</w:t>
      </w:r>
    </w:p>
    <w:p>
      <w:pPr>
        <w:pStyle w:val="ArticleScripture"/>
        <w:jc w:val="right"/>
        <w:bidi w:val="1"/>
      </w:pPr>
      <w:r>
        <w:rPr>
          <w:rFonts w:ascii="Segoe UI" w:hAnsi="Segoe UI" w:eastAsia="Segoe UI" w:cs="Segoe UI"/>
          <w:rtl w:val="1"/>
        </w:rPr>
        <w:t>در پاک ساختن هیکل از خریداران و فروشندگان جهان، عیسی رسالت خویش را برای پاک ساختن دل از آلودگی گناه اعلام کرد—از امیال زمینی، هوس‌های خودخواهانه، و عادات شریرانه‌ای که جان را فاسد می‌سازند. «ملاکی ۳:‏۱–۳» نقل شده است. آرزوی اعصار، ۱۶۱.</w:t>
      </w:r>
    </w:p>
    <w:p>
      <w:pPr>
        <w:pStyle w:val="ArticleBody"/>
        <w:jc w:val="right"/>
        <w:bidi w:val="1"/>
      </w:pPr>
      <w:r>
        <w:rPr>
          <w:rFonts w:ascii="Segoe UI" w:hAnsi="Segoe UI" w:eastAsia="Segoe UI" w:cs="Segoe UI"/>
          <w:rtl w:val="1"/>
        </w:rPr>
        <w:t>تطهیرِ ہیکل کے ذریعے مسیح نے توبہ کرنے والے گنہگار کے دل کی تطہیر کے اپنے کام کی نمائندگی کی۔ انسانوں کے درمیان اپنی خدمت کے دوران اُس نے دو مرتبہ زمینی ہیکل کو پاک کیا۔</w:t>
      </w:r>
    </w:p>
    <w:p>
      <w:pPr>
        <w:pStyle w:val="ArticleScripture"/>
        <w:jc w:val="right"/>
        <w:bidi w:val="1"/>
      </w:pPr>
      <w:r>
        <w:rPr>
          <w:rFonts w:ascii="Segoe UI" w:hAnsi="Segoe UI" w:eastAsia="Segoe UI" w:cs="Segoe UI"/>
          <w:rtl w:val="1"/>
        </w:rPr>
        <w:t>«نبی کہتا ہے، “میں نے ایک اور فرشتہ کو آسمان سے اترتے دیکھا، جس کے پاس بڑا اختیار تھا؛ اور زمین اس کے جلال سے منور ہو گئی۔ اور اس نے بڑی زور دار آواز سے پکار کر کہا، بابلِ عظیم گر پڑا، گر پڑا، اور شیاطین کا مسکن بن گیا” (Revelation 18:1, 2)۔ یہ وہی پیغام ہے جو دوسرے فرشتہ نے دیا تھا۔ بابل گر پڑا ہے، “کیونکہ اس نے اپنی زناکاری کے غضب کی مے تمام قوموں کو پلائی” (Revelation 14:8)۔ وہ مے کیا ہے؟—اس کی جھوٹی تعلیمات۔ اس نے چوتھے حکم کے سبت کے بجائے دنیا کو ایک جھوٹا سبت دیا ہے، اور اس جھوٹ کو دہرایا ہے جو شیطان نے سب سے پہلے عدن میں حوا سے کہا تھا—یعنی روح کی طبعی لافانیت۔ اسی نوع کی بہت سی گمراہ کن غلطیاں اس نے دور دور تک پھیلا دی ہیں، “آدمیوں کے احکام کو تعلیمات ٹھہرا کر سکھاتے ہیں” (Matthew 15:9)۔»</w:t>
      </w:r>
    </w:p>
    <w:p>
      <w:pPr>
        <w:pStyle w:val="ArticleScripture"/>
        <w:jc w:val="right"/>
        <w:bidi w:val="1"/>
      </w:pPr>
      <w:r>
        <w:rPr>
          <w:rFonts w:ascii="Segoe UI" w:hAnsi="Segoe UI" w:eastAsia="Segoe UI" w:cs="Segoe UI"/>
          <w:rtl w:val="1"/>
        </w:rPr>
        <w:t>«وقتی عیسی خدمت عمومیِ خویش را آغاز کرد، معبد را از بی‌حرمتیِ کفرآمیز آن پاک ساخت. در میان واپسین اعمال خدمت او نیز دومین تطهیرِ معبد قرار داشت. به همین‌سان، در آخرین کار برای هشدار دادن به جهان، دو دعوتِ متمایز به کلیساها داده می‌شود. پیامِ فرشتهٔ دوم این است: «بابلِ عظیم سقوط کرده است، سقوط کرده است، زیرا که همهٔ امت‌ها را از شرابِ خشمِ زنای خود نوشانیده است» (مکاشفه 14:8). و در فریادِ بلندِ پیامِ فرشتهٔ سوم، آوازی از آسمان شنیده می‌شود که می‌گوید: «ای قومِ من، از او بیرون آیید، مبادا در گناهانش شریک شوید، و مبادا از بلاهایش نصیبی ببرید. زیرا گناهانش تا به آسمان رسیده، و خدا بی‌عدالتی‌های او را به یاد آورده است» (مکاشفه 18:4، 5).» Selected Messages, book 2, 118.</w:t>
      </w:r>
    </w:p>
    <w:p>
      <w:pPr>
        <w:pStyle w:val="ArticleBody"/>
        <w:jc w:val="right"/>
        <w:bidi w:val="1"/>
      </w:pPr>
      <w:r>
        <w:rPr>
          <w:rFonts w:ascii="Segoe UI" w:hAnsi="Segoe UI" w:eastAsia="Segoe UI" w:cs="Segoe UI"/>
          <w:rtl w:val="1"/>
        </w:rPr>
        <w:t>در تحققِ باب سومِ ملاکی، یحییِ تعمیددهنده آن رسولی بود که برای عیسی، به‌عنوان رسولِ عهد، راه را مهیا ساخت تا ناگهان به هیکلِ خود بیاید و آن را دو بار تطهیر کند. او در خدمتِ سه سال و نیمهٔ خود، هیکل را در آغاز و پایانِ خدمتش تطهیر کرد و بدین‌سان آشکار ساخت که کارِ تطهیر، آغازی دارد که نمایانگرِ پایان است. عیسی همواره پایان را با آغاز به تصویر می‌کشد، و در هماهنگی با کارِ او به‌عنوان آلفا و اُمگا، آن سه سال و نیم با تطهیرِ هیکل آغاز شد و با تطهیرِ هیکل پایان یافت.</w:t>
      </w:r>
    </w:p>
    <w:p>
      <w:pPr>
        <w:pStyle w:val="ArticleBody"/>
        <w:jc w:val="right"/>
        <w:bidi w:val="1"/>
      </w:pPr>
      <w:r>
        <w:rPr>
          <w:rFonts w:ascii="Segoe UI" w:hAnsi="Segoe UI" w:eastAsia="Segoe UI" w:cs="Segoe UI"/>
          <w:rtl w:val="1"/>
        </w:rPr>
        <w:t>در پایانِ سه سال و نیم، او آن خون را ریخت که عهد را تثبیت کرد؛ همان عهدی که پیشگوییِ باب نهمِ دانیال را تحقق بخشید، مبنی بر اینکه او با بسیاری برای یک هفته عهد را استوار خواهد ساخت، و در میانهٔ آن منقطع خواهد شد.</w:t>
      </w:r>
    </w:p>
    <w:p>
      <w:pPr>
        <w:pStyle w:val="ArticleScripture"/>
        <w:jc w:val="right"/>
        <w:bidi w:val="1"/>
      </w:pPr>
      <w:r>
        <w:rPr>
          <w:rFonts w:ascii="Segoe UI" w:hAnsi="Segoe UI" w:eastAsia="Segoe UI" w:cs="Segoe UI"/>
          <w:rtl w:val="1"/>
        </w:rPr>
        <w:t>اور باسٹھ ہفتوں کے بعد مسیحا کاٹ ڈالا جائے گا، لیکن اپنے لیے نہیں؛ اور آنے والے رئیس کے لوگ شہر اور مقدِس کو تباہ کر دیں گے؛ اور اُس کا انجام سیلاب کے ساتھ ہوگا، اور جنگ کے آخر تک ویرانیاں مقرر کی گئی ہیں۔ اور وہ ایک ہفتہ کے لیے بہتوں کے ساتھ عہد کو مضبوط کرے گا؛ اور ہفتہ کے وسط میں وہ قربانی اور نذر کو موقوف کر دے گا، اور مکروہات کے پھیلاؤ کے سبب وہ اُسے ویران کر دے گا، یہاں تک کہ تکمیل ہو جائے، اور جو ٹھہرایا گیا ہے وہ اُس ویران کرنے والے پر انڈیلا جائے گا۔ دانی ایل 9:26، 27۔</w:t>
      </w:r>
    </w:p>
    <w:p>
      <w:pPr>
        <w:pStyle w:val="ArticleBody"/>
        <w:jc w:val="right"/>
        <w:bidi w:val="1"/>
      </w:pPr>
      <w:r>
        <w:rPr>
          <w:rFonts w:ascii="Segoe UI" w:hAnsi="Segoe UI" w:eastAsia="Segoe UI" w:cs="Segoe UI"/>
          <w:rtl w:val="1"/>
        </w:rPr>
        <w:t>در مقالهٔ بعدی این مطالعه را ادامه خواهیم داد.</w:t>
      </w:r>
    </w:p>
    <w:p>
      <w:pPr>
        <w:pStyle w:val="ArticleScripture"/>
        <w:jc w:val="right"/>
        <w:bidi w:val="1"/>
      </w:pPr>
      <w:r>
        <w:rPr>
          <w:rFonts w:ascii="Segoe UI" w:hAnsi="Segoe UI" w:eastAsia="Segoe UI" w:cs="Segoe UI"/>
          <w:rtl w:val="1"/>
        </w:rPr>
        <w:t>«می‌توان صفحه پس از صفحه دربارهٔ این امور نوشت. کنفرانس‌های کامل در حال خمیرمایه‌گرفتن از همان اصول منحرف هستند. “زیرا مردان ثروتمند آن از ظلم آکنده‌اند، و ساکنانش دروغ گفته‌اند، و زبان ایشان در دهانشان فریبکار است.” خداوند عمل خواهد کرد تا کلیسای خود را پاک سازد. به‌راستی به شما می‌گویم، خداوند در شُرُف آن است که در مؤسساتی که به نام او خوانده می‌شوند، واژگون کند و زیر و زبر سازد.»</w:t>
      </w:r>
    </w:p>
    <w:p>
      <w:pPr>
        <w:pStyle w:val="ArticleScripture"/>
        <w:jc w:val="right"/>
        <w:bidi w:val="1"/>
      </w:pPr>
      <w:r>
        <w:rPr>
          <w:rFonts w:ascii="Segoe UI" w:hAnsi="Segoe UI" w:eastAsia="Segoe UI" w:cs="Segoe UI"/>
          <w:rtl w:val="1"/>
        </w:rPr>
        <w:t>«این فرایندِ تصفیه دقیقاً چه زود آغاز خواهد شد، نمی‌توانم بگویم، اما تأخیر آن طولانی نخواهد بود. او که بادبیزن خویش را در دست دارد، هیکل خود را از آلودگی اخلاقی‌اش پاک خواهد ساخت. او خرمنگاه خود را به‌تمامی پاک خواهد نمود. خدا با همه آنان که کمترین بی‌انصافی را روا می‌دارند، دعوی دارد؛ زیرا ایشان بدین‌سان اقتدار خدا را رد می‌کنند و بهره خویش را در کفاره، یعنی آن فدیه‌ای که مسیح برای هر پسر و دخترِ آدم بر عهده گرفته است، به خطر می‌افکنند. آیا در پیش گرفتن راهی که منفورِ خداست سودی خواهد داشت؟ آیا سودی خواهد داشت که بر مجمرهای خود آتش بیگانه بگذارید تا آن را در حضور خدا تقدیم کنید، و بگویید تفاوتی نمی‌کند؟»</w:t>
      </w:r>
    </w:p>
    <w:p>
      <w:pPr>
        <w:pStyle w:val="ArticleScripture"/>
        <w:jc w:val="right"/>
        <w:bidi w:val="1"/>
      </w:pPr>
      <w:r>
        <w:rPr>
          <w:rFonts w:ascii="Segoe UI" w:hAnsi="Segoe UI" w:eastAsia="Segoe UI" w:cs="Segoe UI"/>
          <w:rtl w:val="1"/>
        </w:rPr>
        <w:t>«این مطابق نظم خدا نبوده است که این‌همه امور در بتل‌کریک متمرکز شود. وضعیتی که اکنون وجود دارد همان چیزی است که پیش‌تر به‌عنوان هشداری به من نشان داده شد. از این تصویری که پیش روست، دل من سخت به درد آمده است. خداوند هشدارها داد تا از این حالتِ تباه‌کننده جلوگیری شود، اما به آن‌ها اعتنا نشده است. “شما نمک زمین هستید؛ لیکن اگر نمک مزهٔ خود را از دست بدهد، با چه چیز شور خواهد شد؟ از آن پس دیگر به هیچ کار نمی‌آید، جز آنکه بیرون افکنده شود و پایمالِ مردم گردد.”»</w:t>
      </w:r>
    </w:p>
    <w:p>
      <w:pPr>
        <w:pStyle w:val="ArticleScripture"/>
        <w:jc w:val="right"/>
        <w:bidi w:val="1"/>
      </w:pPr>
      <w:r>
        <w:rPr>
          <w:rFonts w:ascii="Segoe UI" w:hAnsi="Segoe UI" w:eastAsia="Segoe UI" w:cs="Segoe UI"/>
          <w:rtl w:val="1"/>
        </w:rPr>
        <w:t>«از برادران خود استدعا دارم که بیدار شوند. مگر آنکه به‌زودی تغییری پدید آید، ناگزیرم حقایق را به مردم اعلام کنم؛ زیرا این وضع باید دگرگون شود؛ مردانِ ناتبدیل‌یافته دیگر نباید در چنین کار مهم و مقدسی مدیران و متصدیان باشند. با داود ناچاریم بگوییم: “ای خداوند، وقت آن است که عمل نمایی، زیرا شریعت تو را باطل ساخته‌اند.”» Special Testimonies, 30, 31.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کتابِ دانیال — نمبر ایک سو</dc:title>
  <dc:subject>توثیق به‌وسیلهٔ ایمان: تحلیلی تاریخی از ارتداد در پروتستانتیسم</dc:subject>
  <dc:creator>Jeff Pippenger</dc:creator>
  <cp:keywords/>
  <dc:description>Generated by ArticleDigger from daniel\100_daniel.json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