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ایلیاہ — نمبر دس</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2023-10-13</w:t>
      </w:r>
    </w:p>
    <w:p>
      <w:pPr>
        <w:pStyle w:val="ArticleHeading"/>
        <w:jc w:val="right"/>
        <w:bidi w:val="1"/>
      </w:pPr>
      <w:r>
        <w:rPr>
          <w:rFonts w:ascii="Segoe UI" w:hAnsi="Segoe UI" w:eastAsia="Segoe UI" w:cs="Segoe UI"/>
          <w:rtl w:val="1"/>
        </w:rPr>
        <w:t>۱۸۵۶</w:t>
      </w:r>
    </w:p>
    <w:p>
      <w:pPr>
        <w:pStyle w:val="ArticleBody"/>
        <w:jc w:val="right"/>
        <w:bidi w:val="1"/>
      </w:pPr>
      <w:r>
        <w:rPr>
          <w:rFonts w:ascii="Segoe UI" w:hAnsi="Segoe UI" w:eastAsia="Segoe UI" w:cs="Segoe UI"/>
          <w:rtl w:val="1"/>
        </w:rPr>
        <w:t>د میلریتي غورځنګ په د اشعیا د اووم فصل کې د یوې پنځه شپېته کلنې نبوت له لارې استازیتوب شوی و، چې په 742 قبل‌المیلاد کې پیل شو. دغه پنځه شپېته کاله چې د اشعیا په تاریخ کې واقع شول، له 1798 څخه تر 1863 پورې هغو پنځه شپېته کلونو استازیتوب کوي. الفا او اومېګا به تل پای د پیل ترڅنګ انځوروي. د پنځه شپېته کلنې نبوت د اسرائیلو د شمالي او جنوبي سلطنتونو پر ضد د اووه ځله لعنت مشخصوي. د شمالي سلطنت پر ضد لومړی اووه ځله لعنت په 723 قبل‌المیلاد کې پیل شو، نولس کاله وروسته له هغه چې اشعیا پاچا احاز ته دا وړاندوینه وړاندې کړه. د جنوبي سلطنت پر ضد وروستی اووه ځله لعنت د پنځه شپېته کلونو په پای کې، په 677 قبل‌المیلاد کې، پیل شو.</w:t>
      </w:r>
    </w:p>
    <w:p>
      <w:pPr>
        <w:pStyle w:val="ArticleBody"/>
        <w:jc w:val="right"/>
        <w:bidi w:val="1"/>
      </w:pPr>
      <w:r>
        <w:rPr>
          <w:rFonts w:ascii="Segoe UI" w:hAnsi="Segoe UI" w:eastAsia="Segoe UI" w:cs="Segoe UI"/>
          <w:rtl w:val="1"/>
        </w:rPr>
        <w:t>اولین لعنتِ «هفت زمان» بر افرایم در سال 1798 به پایان رسید، که همان زمانِ آخر بود؛ زمانی که رؤیای نهرِ اولای در باب‌های هشت و نهِ دانیال گشوده شد. این واقعه به‌طور نبوی هم رسیدنِ پیامِ فرشتهٔ اول را نشان می‌داد و هم آغازِ نبویِ جنبشِ میلری را. آخرین لعنتِ «هفت زمان» بر یهودا در سال 1844 به پایان رسید، که همان رسیدنِ پیامِ فرشتهٔ سوم بود. نوزده سال بعد، در 1863، شصت‌وپنج سالی که در آغازِ این پیشگویی نمایان شده بود، پایانِ جنبشِ میلری و آغازِ کلیسای ادونتیستِ روز هفتمِ لائودیکیه را مشخص کرد. هفت سال پیش از 1863، در 1856، جیمز وایت شروع به تشخیص این امر کرد که جنبشِ میلری دیگر کلیسای فیلادلفیا نیست، بلکه به کلیسای لائودیکیه تبدیل شده است. نوهٔ او، هنگامی که زندگی‌نامهٔ الن وایت را می‌نوشت، دربارهٔ تاریخِ 1856 و پیامِ لائودیکیه می‌نویسد.</w:t>
      </w:r>
    </w:p>
    <w:p>
      <w:pPr>
        <w:pStyle w:val="ArticleHeading"/>
        <w:jc w:val="right"/>
        <w:bidi w:val="1"/>
      </w:pPr>
      <w:r>
        <w:rPr>
          <w:rFonts w:ascii="Segoe UI" w:hAnsi="Segoe UI" w:eastAsia="Segoe UI" w:cs="Segoe UI"/>
          <w:rtl w:val="1"/>
        </w:rPr>
        <w:t>«پیام لائودکیه»</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अद्वेंटिस्टहरू</w:t>
      </w:r>
      <w:r>
        <w:rPr>
          <w:rFonts w:ascii="Segoe UI" w:hAnsi="Segoe UI" w:eastAsia="Segoe UI" w:cs="Segoe UI"/>
          <w:rtl w:val="1"/>
        </w:rPr>
        <w:t xml:space="preserve">, </w:t>
      </w:r>
      <w:r>
        <w:rPr>
          <w:rFonts w:ascii="Nirmala UI" w:hAnsi="Nirmala UI" w:eastAsia="Nirmala UI" w:cs="Nirmala UI"/>
          <w:rtl w:val="1"/>
        </w:rPr>
        <w:t>जसले</w:t>
      </w:r>
      <w:r>
        <w:rPr>
          <w:rFonts w:ascii="Segoe UI" w:hAnsi="Segoe UI" w:eastAsia="Segoe UI" w:cs="Segoe UI"/>
          <w:rtl w:val="1"/>
        </w:rPr>
        <w:t xml:space="preserve"> </w:t>
      </w:r>
      <w:r>
        <w:rPr>
          <w:rFonts w:ascii="Nirmala UI" w:hAnsi="Nirmala UI" w:eastAsia="Nirmala UI" w:cs="Nirmala UI"/>
          <w:rtl w:val="1"/>
        </w:rPr>
        <w:t>शबाथको</w:t>
      </w:r>
      <w:r>
        <w:rPr>
          <w:rFonts w:ascii="Segoe UI" w:hAnsi="Segoe UI" w:eastAsia="Segoe UI" w:cs="Segoe UI"/>
          <w:rtl w:val="1"/>
        </w:rPr>
        <w:t xml:space="preserve"> </w:t>
      </w:r>
      <w:r>
        <w:rPr>
          <w:rFonts w:ascii="Nirmala UI" w:hAnsi="Nirmala UI" w:eastAsia="Nirmala UI" w:cs="Nirmala UI"/>
          <w:rtl w:val="1"/>
        </w:rPr>
        <w:t>पालन</w:t>
      </w:r>
      <w:r>
        <w:rPr>
          <w:rFonts w:ascii="Segoe UI" w:hAnsi="Segoe UI" w:eastAsia="Segoe UI" w:cs="Segoe UI"/>
          <w:rtl w:val="1"/>
        </w:rPr>
        <w:t xml:space="preserve"> </w:t>
      </w:r>
      <w:r>
        <w:rPr>
          <w:rFonts w:ascii="Nirmala UI" w:hAnsi="Nirmala UI" w:eastAsia="Nirmala UI" w:cs="Nirmala UI"/>
          <w:rtl w:val="1"/>
        </w:rPr>
        <w:t>गर्थे</w:t>
      </w:r>
      <w:r>
        <w:rPr>
          <w:rFonts w:ascii="Segoe UI" w:hAnsi="Segoe UI" w:eastAsia="Segoe UI" w:cs="Segoe UI"/>
          <w:rtl w:val="1"/>
        </w:rPr>
        <w:t xml:space="preserve">, </w:t>
      </w:r>
      <w:r>
        <w:rPr>
          <w:rFonts w:ascii="Nirmala UI" w:hAnsi="Nirmala UI" w:eastAsia="Nirmala UI" w:cs="Nirmala UI"/>
          <w:rtl w:val="1"/>
        </w:rPr>
        <w:t>यस्तो</w:t>
      </w:r>
      <w:r>
        <w:rPr>
          <w:rFonts w:ascii="Segoe UI" w:hAnsi="Segoe UI" w:eastAsia="Segoe UI" w:cs="Segoe UI"/>
          <w:rtl w:val="1"/>
        </w:rPr>
        <w:t xml:space="preserve"> </w:t>
      </w:r>
      <w:r>
        <w:rPr>
          <w:rFonts w:ascii="Nirmala UI" w:hAnsi="Nirmala UI" w:eastAsia="Nirmala UI" w:cs="Nirmala UI"/>
          <w:rtl w:val="1"/>
        </w:rPr>
        <w:t>धारणा</w:t>
      </w:r>
      <w:r>
        <w:rPr>
          <w:rFonts w:ascii="Segoe UI" w:hAnsi="Segoe UI" w:eastAsia="Segoe UI" w:cs="Segoe UI"/>
          <w:rtl w:val="1"/>
        </w:rPr>
        <w:t xml:space="preserve"> </w:t>
      </w:r>
      <w:r>
        <w:rPr>
          <w:rFonts w:ascii="Nirmala UI" w:hAnsi="Nirmala UI" w:eastAsia="Nirmala UI" w:cs="Nirmala UI"/>
          <w:rtl w:val="1"/>
        </w:rPr>
        <w:t>राख्दथे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प्रकाश</w:t>
      </w:r>
      <w:r>
        <w:rPr>
          <w:rFonts w:ascii="Segoe UI" w:hAnsi="Segoe UI" w:eastAsia="Segoe UI" w:cs="Segoe UI"/>
          <w:rtl w:val="1"/>
        </w:rPr>
        <w:t xml:space="preserve"> २ </w:t>
      </w:r>
      <w:r>
        <w:rPr>
          <w:rFonts w:ascii="Nirmala UI" w:hAnsi="Nirmala UI" w:eastAsia="Nirmala UI" w:cs="Nirmala UI"/>
          <w:rtl w:val="1"/>
        </w:rPr>
        <w:t>र</w:t>
      </w:r>
      <w:r>
        <w:rPr>
          <w:rFonts w:ascii="Segoe UI" w:hAnsi="Segoe UI" w:eastAsia="Segoe UI" w:cs="Segoe UI"/>
          <w:rtl w:val="1"/>
        </w:rPr>
        <w:t xml:space="preserve"> ३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उल्लिखित</w:t>
      </w:r>
      <w:r>
        <w:rPr>
          <w:rFonts w:ascii="Segoe UI" w:hAnsi="Segoe UI" w:eastAsia="Segoe UI" w:cs="Segoe UI"/>
          <w:rtl w:val="1"/>
        </w:rPr>
        <w:t xml:space="preserve"> </w:t>
      </w:r>
      <w:r>
        <w:rPr>
          <w:rFonts w:ascii="Nirmala UI" w:hAnsi="Nirmala UI" w:eastAsia="Nirmala UI" w:cs="Nirmala UI"/>
          <w:rtl w:val="1"/>
        </w:rPr>
        <w:t>सातवटा</w:t>
      </w:r>
      <w:r>
        <w:rPr>
          <w:rFonts w:ascii="Segoe UI" w:hAnsi="Segoe UI" w:eastAsia="Segoe UI" w:cs="Segoe UI"/>
          <w:rtl w:val="1"/>
        </w:rPr>
        <w:t xml:space="preserve"> </w:t>
      </w:r>
      <w:r>
        <w:rPr>
          <w:rFonts w:ascii="Nirmala UI" w:hAnsi="Nirmala UI" w:eastAsia="Nirmala UI" w:cs="Nirmala UI"/>
          <w:rtl w:val="1"/>
        </w:rPr>
        <w:t>मण्डलीहरूलाई</w:t>
      </w:r>
      <w:r>
        <w:rPr>
          <w:rFonts w:ascii="Segoe UI" w:hAnsi="Segoe UI" w:eastAsia="Segoe UI" w:cs="Segoe UI"/>
          <w:rtl w:val="1"/>
        </w:rPr>
        <w:t xml:space="preserve"> </w:t>
      </w:r>
      <w:r>
        <w:rPr>
          <w:rFonts w:ascii="Nirmala UI" w:hAnsi="Nirmala UI" w:eastAsia="Nirmala UI" w:cs="Nirmala UI"/>
          <w:rtl w:val="1"/>
        </w:rPr>
        <w:t>दिइएका</w:t>
      </w:r>
      <w:r>
        <w:rPr>
          <w:rFonts w:ascii="Segoe UI" w:hAnsi="Segoe UI" w:eastAsia="Segoe UI" w:cs="Segoe UI"/>
          <w:rtl w:val="1"/>
        </w:rPr>
        <w:t xml:space="preserve"> </w:t>
      </w:r>
      <w:r>
        <w:rPr>
          <w:rFonts w:ascii="Nirmala UI" w:hAnsi="Nirmala UI" w:eastAsia="Nirmala UI" w:cs="Nirmala UI"/>
          <w:rtl w:val="1"/>
        </w:rPr>
        <w:t>सन्देशहरूले</w:t>
      </w:r>
      <w:r>
        <w:rPr>
          <w:rFonts w:ascii="Segoe UI" w:hAnsi="Segoe UI" w:eastAsia="Segoe UI" w:cs="Segoe UI"/>
          <w:rtl w:val="1"/>
        </w:rPr>
        <w:t xml:space="preserve"> </w:t>
      </w:r>
      <w:r>
        <w:rPr>
          <w:rFonts w:ascii="Nirmala UI" w:hAnsi="Nirmala UI" w:eastAsia="Nirmala UI" w:cs="Nirmala UI"/>
          <w:rtl w:val="1"/>
        </w:rPr>
        <w:t>शताब्दीयौँदेखि</w:t>
      </w:r>
      <w:r>
        <w:rPr>
          <w:rFonts w:ascii="Segoe UI" w:hAnsi="Segoe UI" w:eastAsia="Segoe UI" w:cs="Segoe UI"/>
          <w:rtl w:val="1"/>
        </w:rPr>
        <w:t xml:space="preserve"> </w:t>
      </w:r>
      <w:r>
        <w:rPr>
          <w:rFonts w:ascii="Nirmala UI" w:hAnsi="Nirmala UI" w:eastAsia="Nirmala UI" w:cs="Nirmala UI"/>
          <w:rtl w:val="1"/>
        </w:rPr>
        <w:t>ख्रीष्टियन</w:t>
      </w:r>
      <w:r>
        <w:rPr>
          <w:rFonts w:ascii="Segoe UI" w:hAnsi="Segoe UI" w:eastAsia="Segoe UI" w:cs="Segoe UI"/>
          <w:rtl w:val="1"/>
        </w:rPr>
        <w:t xml:space="preserve"> </w:t>
      </w:r>
      <w:r>
        <w:rPr>
          <w:rFonts w:ascii="Nirmala UI" w:hAnsi="Nirmala UI" w:eastAsia="Nirmala UI" w:cs="Nirmala UI"/>
          <w:rtl w:val="1"/>
        </w:rPr>
        <w:t>मण्डलीको</w:t>
      </w:r>
      <w:r>
        <w:rPr>
          <w:rFonts w:ascii="Segoe UI" w:hAnsi="Segoe UI" w:eastAsia="Segoe UI" w:cs="Segoe UI"/>
          <w:rtl w:val="1"/>
        </w:rPr>
        <w:t xml:space="preserve"> </w:t>
      </w:r>
      <w:r>
        <w:rPr>
          <w:rFonts w:ascii="Nirmala UI" w:hAnsi="Nirmala UI" w:eastAsia="Nirmala UI" w:cs="Nirmala UI"/>
          <w:rtl w:val="1"/>
        </w:rPr>
        <w:t>अनुभवलाई</w:t>
      </w:r>
      <w:r>
        <w:rPr>
          <w:rFonts w:ascii="Segoe UI" w:hAnsi="Segoe UI" w:eastAsia="Segoe UI" w:cs="Segoe UI"/>
          <w:rtl w:val="1"/>
        </w:rPr>
        <w:t xml:space="preserve"> </w:t>
      </w:r>
      <w:r>
        <w:rPr>
          <w:rFonts w:ascii="Nirmala UI" w:hAnsi="Nirmala UI" w:eastAsia="Nirmala UI" w:cs="Nirmala UI"/>
          <w:rtl w:val="1"/>
        </w:rPr>
        <w:t>चित्रित</w:t>
      </w:r>
      <w:r>
        <w:rPr>
          <w:rFonts w:ascii="Segoe UI" w:hAnsi="Segoe UI" w:eastAsia="Segoe UI" w:cs="Segoe UI"/>
          <w:rtl w:val="1"/>
        </w:rPr>
        <w:t xml:space="preserve"> </w:t>
      </w:r>
      <w:r>
        <w:rPr>
          <w:rFonts w:ascii="Nirmala UI" w:hAnsi="Nirmala UI" w:eastAsia="Nirmala UI" w:cs="Nirmala UI"/>
          <w:rtl w:val="1"/>
        </w:rPr>
        <w:t>गर्दछन्।</w:t>
      </w:r>
      <w:r>
        <w:rPr>
          <w:rFonts w:ascii="Segoe UI" w:hAnsi="Segoe UI" w:eastAsia="Segoe UI" w:cs="Segoe UI"/>
          <w:rtl w:val="1"/>
        </w:rPr>
        <w:t xml:space="preserve"> </w:t>
      </w:r>
      <w:r>
        <w:rPr>
          <w:rFonts w:ascii="Nirmala UI" w:hAnsi="Nirmala UI" w:eastAsia="Nirmala UI" w:cs="Nirmala UI"/>
          <w:rtl w:val="1"/>
        </w:rPr>
        <w:t>उनीहरूको</w:t>
      </w:r>
      <w:r>
        <w:rPr>
          <w:rFonts w:ascii="Segoe UI" w:hAnsi="Segoe UI" w:eastAsia="Segoe UI" w:cs="Segoe UI"/>
          <w:rtl w:val="1"/>
        </w:rPr>
        <w:t xml:space="preserve"> </w:t>
      </w:r>
      <w:r>
        <w:rPr>
          <w:rFonts w:ascii="Nirmala UI" w:hAnsi="Nirmala UI" w:eastAsia="Nirmala UI" w:cs="Nirmala UI"/>
          <w:rtl w:val="1"/>
        </w:rPr>
        <w:t>निष्कर्ष</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थियो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लाओडिसियाको</w:t>
      </w:r>
      <w:r>
        <w:rPr>
          <w:rFonts w:ascii="Segoe UI" w:hAnsi="Segoe UI" w:eastAsia="Segoe UI" w:cs="Segoe UI"/>
          <w:rtl w:val="1"/>
        </w:rPr>
        <w:t xml:space="preserve"> </w:t>
      </w:r>
      <w:r>
        <w:rPr>
          <w:rFonts w:ascii="Nirmala UI" w:hAnsi="Nirmala UI" w:eastAsia="Nirmala UI" w:cs="Nirmala UI"/>
          <w:rtl w:val="1"/>
        </w:rPr>
        <w:t>मण्डलीलाई</w:t>
      </w:r>
      <w:r>
        <w:rPr>
          <w:rFonts w:ascii="Segoe UI" w:hAnsi="Segoe UI" w:eastAsia="Segoe UI" w:cs="Segoe UI"/>
          <w:rtl w:val="1"/>
        </w:rPr>
        <w:t xml:space="preserve"> </w:t>
      </w:r>
      <w:r>
        <w:rPr>
          <w:rFonts w:ascii="Nirmala UI" w:hAnsi="Nirmala UI" w:eastAsia="Nirmala UI" w:cs="Nirmala UI"/>
          <w:rtl w:val="1"/>
        </w:rPr>
        <w:t>दिइएको</w:t>
      </w:r>
      <w:r>
        <w:rPr>
          <w:rFonts w:ascii="Segoe UI" w:hAnsi="Segoe UI" w:eastAsia="Segoe UI" w:cs="Segoe UI"/>
          <w:rtl w:val="1"/>
        </w:rPr>
        <w:t xml:space="preserve"> </w:t>
      </w:r>
      <w:r>
        <w:rPr>
          <w:rFonts w:ascii="Nirmala UI" w:hAnsi="Nirmala UI" w:eastAsia="Nirmala UI" w:cs="Nirmala UI"/>
          <w:rtl w:val="1"/>
        </w:rPr>
        <w:t>सन्देश</w:t>
      </w:r>
      <w:r>
        <w:rPr>
          <w:rFonts w:ascii="Segoe UI" w:hAnsi="Segoe UI" w:eastAsia="Segoe UI" w:cs="Segoe UI"/>
          <w:rtl w:val="1"/>
        </w:rPr>
        <w:t xml:space="preserve"> </w:t>
      </w:r>
      <w:r>
        <w:rPr>
          <w:rFonts w:ascii="Nirmala UI" w:hAnsi="Nirmala UI" w:eastAsia="Nirmala UI" w:cs="Nirmala UI"/>
          <w:rtl w:val="1"/>
        </w:rPr>
        <w:t>तिनै</w:t>
      </w:r>
      <w:r>
        <w:rPr>
          <w:rFonts w:ascii="Segoe UI" w:hAnsi="Segoe UI" w:eastAsia="Segoe UI" w:cs="Segoe UI"/>
          <w:rtl w:val="1"/>
        </w:rPr>
        <w:t xml:space="preserve"> </w:t>
      </w:r>
      <w:r>
        <w:rPr>
          <w:rFonts w:ascii="Nirmala UI" w:hAnsi="Nirmala UI" w:eastAsia="Nirmala UI" w:cs="Nirmala UI"/>
          <w:rtl w:val="1"/>
        </w:rPr>
        <w:t>व्यक्तिहरूमा</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हुन्छ</w:t>
      </w:r>
      <w:r>
        <w:rPr>
          <w:rFonts w:ascii="Segoe UI" w:hAnsi="Segoe UI" w:eastAsia="Segoe UI" w:cs="Segoe UI"/>
          <w:rtl w:val="1"/>
        </w:rPr>
        <w:t xml:space="preserve">, </w:t>
      </w:r>
      <w:r>
        <w:rPr>
          <w:rFonts w:ascii="Nirmala UI" w:hAnsi="Nirmala UI" w:eastAsia="Nirmala UI" w:cs="Nirmala UI"/>
          <w:rtl w:val="1"/>
        </w:rPr>
        <w:t>जसलाई</w:t>
      </w:r>
      <w:r>
        <w:rPr>
          <w:rFonts w:ascii="Segoe UI" w:hAnsi="Segoe UI" w:eastAsia="Segoe UI" w:cs="Segoe UI"/>
          <w:rtl w:val="1"/>
        </w:rPr>
        <w:t xml:space="preserve"> </w:t>
      </w:r>
      <w:r>
        <w:rPr>
          <w:rFonts w:ascii="Nirmala UI" w:hAnsi="Nirmala UI" w:eastAsia="Nirmala UI" w:cs="Nirmala UI"/>
          <w:rtl w:val="1"/>
        </w:rPr>
        <w:t>उनीहरूले</w:t>
      </w:r>
      <w:r>
        <w:rPr>
          <w:rFonts w:ascii="Segoe UI" w:hAnsi="Segoe UI" w:eastAsia="Segoe UI" w:cs="Segoe UI"/>
          <w:rtl w:val="1"/>
        </w:rPr>
        <w:t xml:space="preserve"> </w:t>
      </w:r>
      <w:r>
        <w:rPr>
          <w:rFonts w:ascii="Nirmala UI" w:hAnsi="Nirmala UI" w:eastAsia="Nirmala UI" w:cs="Nirmala UI"/>
          <w:rtl w:val="1"/>
        </w:rPr>
        <w:t>त्यसबेला</w:t>
      </w:r>
      <w:r>
        <w:rPr>
          <w:rFonts w:ascii="Segoe UI" w:hAnsi="Segoe UI" w:eastAsia="Segoe UI" w:cs="Segoe UI"/>
          <w:rtl w:val="1"/>
        </w:rPr>
        <w:t xml:space="preserve"> ‘</w:t>
      </w:r>
      <w:r>
        <w:rPr>
          <w:rFonts w:ascii="Nirmala UI" w:hAnsi="Nirmala UI" w:eastAsia="Nirmala UI" w:cs="Nirmala UI"/>
          <w:rtl w:val="1"/>
        </w:rPr>
        <w:t>नामधारी</w:t>
      </w:r>
      <w:r>
        <w:rPr>
          <w:rFonts w:ascii="Segoe UI" w:hAnsi="Segoe UI" w:eastAsia="Segoe UI" w:cs="Segoe UI"/>
          <w:rtl w:val="1"/>
        </w:rPr>
        <w:t xml:space="preserve"> </w:t>
      </w:r>
      <w:r>
        <w:rPr>
          <w:rFonts w:ascii="Nirmala UI" w:hAnsi="Nirmala UI" w:eastAsia="Nirmala UI" w:cs="Nirmala UI"/>
          <w:rtl w:val="1"/>
        </w:rPr>
        <w:t>अद्वेंटिस्टहरू</w:t>
      </w:r>
      <w:r>
        <w:rPr>
          <w:rFonts w:ascii="Segoe UI" w:hAnsi="Segoe UI" w:eastAsia="Segoe UI" w:cs="Segoe UI"/>
          <w:rtl w:val="1"/>
        </w:rPr>
        <w:t xml:space="preserve">’ </w:t>
      </w:r>
      <w:r>
        <w:rPr>
          <w:rFonts w:ascii="Nirmala UI" w:hAnsi="Nirmala UI" w:eastAsia="Nirmala UI" w:cs="Nirmala UI"/>
          <w:rtl w:val="1"/>
        </w:rPr>
        <w:t>भनेर</w:t>
      </w:r>
      <w:r>
        <w:rPr>
          <w:rFonts w:ascii="Segoe UI" w:hAnsi="Segoe UI" w:eastAsia="Segoe UI" w:cs="Segoe UI"/>
          <w:rtl w:val="1"/>
        </w:rPr>
        <w:t xml:space="preserve"> </w:t>
      </w:r>
      <w:r>
        <w:rPr>
          <w:rFonts w:ascii="Nirmala UI" w:hAnsi="Nirmala UI" w:eastAsia="Nirmala UI" w:cs="Nirmala UI"/>
          <w:rtl w:val="1"/>
        </w:rPr>
        <w:t>सम्बोधन</w:t>
      </w:r>
      <w:r>
        <w:rPr>
          <w:rFonts w:ascii="Segoe UI" w:hAnsi="Segoe UI" w:eastAsia="Segoe UI" w:cs="Segoe UI"/>
          <w:rtl w:val="1"/>
        </w:rPr>
        <w:t xml:space="preserve"> </w:t>
      </w:r>
      <w:r>
        <w:rPr>
          <w:rFonts w:ascii="Nirmala UI" w:hAnsi="Nirmala UI" w:eastAsia="Nirmala UI" w:cs="Nirmala UI"/>
          <w:rtl w:val="1"/>
        </w:rPr>
        <w:t>गर्दथे</w:t>
      </w:r>
      <w:r>
        <w:rPr>
          <w:rFonts w:ascii="Segoe UI" w:hAnsi="Segoe UI" w:eastAsia="Segoe UI" w:cs="Segoe UI"/>
          <w:rtl w:val="1"/>
        </w:rPr>
        <w:t>—</w:t>
      </w:r>
      <w:r>
        <w:rPr>
          <w:rFonts w:ascii="Nirmala UI" w:hAnsi="Nirmala UI" w:eastAsia="Nirmala UI" w:cs="Nirmala UI"/>
          <w:rtl w:val="1"/>
        </w:rPr>
        <w:t>अर्थात्</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जसले</w:t>
      </w:r>
      <w:r>
        <w:rPr>
          <w:rFonts w:ascii="Segoe UI" w:hAnsi="Segoe UI" w:eastAsia="Segoe UI" w:cs="Segoe UI"/>
          <w:rtl w:val="1"/>
        </w:rPr>
        <w:t xml:space="preserve"> </w:t>
      </w:r>
      <w:r>
        <w:rPr>
          <w:rFonts w:ascii="Nirmala UI" w:hAnsi="Nirmala UI" w:eastAsia="Nirmala UI" w:cs="Nirmala UI"/>
          <w:rtl w:val="1"/>
        </w:rPr>
        <w:t>सातौँ</w:t>
      </w:r>
      <w:r>
        <w:rPr>
          <w:rFonts w:ascii="Segoe UI" w:hAnsi="Segoe UI" w:eastAsia="Segoe UI" w:cs="Segoe UI"/>
          <w:rtl w:val="1"/>
        </w:rPr>
        <w:t>-</w:t>
      </w:r>
      <w:r>
        <w:rPr>
          <w:rFonts w:ascii="Nirmala UI" w:hAnsi="Nirmala UI" w:eastAsia="Nirmala UI" w:cs="Nirmala UI"/>
          <w:rtl w:val="1"/>
        </w:rPr>
        <w:t>दिनको</w:t>
      </w:r>
      <w:r>
        <w:rPr>
          <w:rFonts w:ascii="Segoe UI" w:hAnsi="Segoe UI" w:eastAsia="Segoe UI" w:cs="Segoe UI"/>
          <w:rtl w:val="1"/>
        </w:rPr>
        <w:t xml:space="preserve"> </w:t>
      </w:r>
      <w:r>
        <w:rPr>
          <w:rFonts w:ascii="Nirmala UI" w:hAnsi="Nirmala UI" w:eastAsia="Nirmala UI" w:cs="Nirmala UI"/>
          <w:rtl w:val="1"/>
        </w:rPr>
        <w:t>शबाथ</w:t>
      </w:r>
      <w:r>
        <w:rPr>
          <w:rFonts w:ascii="Segoe UI" w:hAnsi="Segoe UI" w:eastAsia="Segoe UI" w:cs="Segoe UI"/>
          <w:rtl w:val="1"/>
        </w:rPr>
        <w:t xml:space="preserve"> </w:t>
      </w:r>
      <w:r>
        <w:rPr>
          <w:rFonts w:ascii="Nirmala UI" w:hAnsi="Nirmala UI" w:eastAsia="Nirmala UI" w:cs="Nirmala UI"/>
          <w:rtl w:val="1"/>
        </w:rPr>
        <w:t>स्वीकार</w:t>
      </w:r>
      <w:r>
        <w:rPr>
          <w:rFonts w:ascii="Segoe UI" w:hAnsi="Segoe UI" w:eastAsia="Segoe UI" w:cs="Segoe UI"/>
          <w:rtl w:val="1"/>
        </w:rPr>
        <w:t xml:space="preserve"> </w:t>
      </w:r>
      <w:r>
        <w:rPr>
          <w:rFonts w:ascii="Nirmala UI" w:hAnsi="Nirmala UI" w:eastAsia="Nirmala UI" w:cs="Nirmala UI"/>
          <w:rtl w:val="1"/>
        </w:rPr>
        <w:t>गरेका</w:t>
      </w:r>
      <w:r>
        <w:rPr>
          <w:rFonts w:ascii="Segoe UI" w:hAnsi="Segoe UI" w:eastAsia="Segoe UI" w:cs="Segoe UI"/>
          <w:rtl w:val="1"/>
        </w:rPr>
        <w:t xml:space="preserve"> </w:t>
      </w:r>
      <w:r>
        <w:rPr>
          <w:rFonts w:ascii="Nirmala UI" w:hAnsi="Nirmala UI" w:eastAsia="Nirmala UI" w:cs="Nirmala UI"/>
          <w:rtl w:val="1"/>
        </w:rPr>
        <w:t>थिएनन्।</w:t>
      </w:r>
      <w:r>
        <w:rPr>
          <w:rFonts w:ascii="Segoe UI" w:hAnsi="Segoe UI" w:eastAsia="Segoe UI" w:cs="Segoe UI"/>
          <w:rtl w:val="1"/>
        </w:rPr>
        <w:t xml:space="preserve"> </w:t>
      </w:r>
      <w:r>
        <w:rPr>
          <w:rFonts w:ascii="Nirmala UI" w:hAnsi="Nirmala UI" w:eastAsia="Nirmala UI" w:cs="Nirmala UI"/>
          <w:rtl w:val="1"/>
        </w:rPr>
        <w:t>अक्टोबर</w:t>
      </w:r>
      <w:r>
        <w:rPr>
          <w:rFonts w:ascii="Segoe UI" w:hAnsi="Segoe UI" w:eastAsia="Segoe UI" w:cs="Segoe UI"/>
          <w:rtl w:val="1"/>
        </w:rPr>
        <w:t xml:space="preserve"> ९ </w:t>
      </w:r>
      <w:r>
        <w:rPr>
          <w:rFonts w:ascii="Nirmala UI" w:hAnsi="Nirmala UI" w:eastAsia="Nirmala UI" w:cs="Nirmala UI"/>
          <w:rtl w:val="1"/>
        </w:rPr>
        <w:t>को</w:t>
      </w:r>
      <w:r>
        <w:rPr>
          <w:rFonts w:ascii="Segoe UI" w:hAnsi="Segoe UI" w:eastAsia="Segoe UI" w:cs="Segoe UI"/>
          <w:rtl w:val="1"/>
        </w:rPr>
        <w:t xml:space="preserve"> Review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प्रकाशित</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छोटो</w:t>
      </w:r>
      <w:r>
        <w:rPr>
          <w:rFonts w:ascii="Segoe UI" w:hAnsi="Segoe UI" w:eastAsia="Segoe UI" w:cs="Segoe UI"/>
          <w:rtl w:val="1"/>
        </w:rPr>
        <w:t xml:space="preserve"> </w:t>
      </w:r>
      <w:r>
        <w:rPr>
          <w:rFonts w:ascii="Nirmala UI" w:hAnsi="Nirmala UI" w:eastAsia="Nirmala UI" w:cs="Nirmala UI"/>
          <w:rtl w:val="1"/>
        </w:rPr>
        <w:t>सम्पादकीयमा</w:t>
      </w:r>
      <w:r>
        <w:rPr>
          <w:rFonts w:ascii="Segoe UI" w:hAnsi="Segoe UI" w:eastAsia="Segoe UI" w:cs="Segoe UI"/>
          <w:rtl w:val="1"/>
        </w:rPr>
        <w:t xml:space="preserve">, </w:t>
      </w:r>
      <w:r>
        <w:rPr>
          <w:rFonts w:ascii="Nirmala UI" w:hAnsi="Nirmala UI" w:eastAsia="Nirmala UI" w:cs="Nirmala UI"/>
          <w:rtl w:val="1"/>
        </w:rPr>
        <w:t>जेम्स</w:t>
      </w:r>
      <w:r>
        <w:rPr>
          <w:rFonts w:ascii="Segoe UI" w:hAnsi="Segoe UI" w:eastAsia="Segoe UI" w:cs="Segoe UI"/>
          <w:rtl w:val="1"/>
        </w:rPr>
        <w:t xml:space="preserve"> </w:t>
      </w:r>
      <w:r>
        <w:rPr>
          <w:rFonts w:ascii="Nirmala UI" w:hAnsi="Nirmala UI" w:eastAsia="Nirmala UI" w:cs="Nirmala UI"/>
          <w:rtl w:val="1"/>
        </w:rPr>
        <w:t>ह्वाइटले</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विचारोत्तेजक</w:t>
      </w:r>
      <w:r>
        <w:rPr>
          <w:rFonts w:ascii="Segoe UI" w:hAnsi="Segoe UI" w:eastAsia="Segoe UI" w:cs="Segoe UI"/>
          <w:rtl w:val="1"/>
        </w:rPr>
        <w:t xml:space="preserve"> </w:t>
      </w:r>
      <w:r>
        <w:rPr>
          <w:rFonts w:ascii="Nirmala UI" w:hAnsi="Nirmala UI" w:eastAsia="Nirmala UI" w:cs="Nirmala UI"/>
          <w:rtl w:val="1"/>
        </w:rPr>
        <w:t>प्रश्नहरू</w:t>
      </w:r>
      <w:r>
        <w:rPr>
          <w:rFonts w:ascii="Segoe UI" w:hAnsi="Segoe UI" w:eastAsia="Segoe UI" w:cs="Segoe UI"/>
          <w:rtl w:val="1"/>
        </w:rPr>
        <w:t xml:space="preserve"> </w:t>
      </w:r>
      <w:r>
        <w:rPr>
          <w:rFonts w:ascii="Nirmala UI" w:hAnsi="Nirmala UI" w:eastAsia="Nirmala UI" w:cs="Nirmala UI"/>
          <w:rtl w:val="1"/>
        </w:rPr>
        <w:t>उठाए</w:t>
      </w:r>
      <w:r>
        <w:rPr>
          <w:rFonts w:ascii="Segoe UI" w:hAnsi="Segoe UI" w:eastAsia="Segoe UI" w:cs="Segoe UI"/>
          <w:rtl w:val="1"/>
        </w:rPr>
        <w:t xml:space="preserve">, </w:t>
      </w:r>
      <w:r>
        <w:rPr>
          <w:rFonts w:ascii="Nirmala UI" w:hAnsi="Nirmala UI" w:eastAsia="Nirmala UI" w:cs="Nirmala UI"/>
          <w:rtl w:val="1"/>
        </w:rPr>
        <w:t>जसको</w:t>
      </w:r>
      <w:r>
        <w:rPr>
          <w:rFonts w:ascii="Segoe UI" w:hAnsi="Segoe UI" w:eastAsia="Segoe UI" w:cs="Segoe UI"/>
          <w:rtl w:val="1"/>
        </w:rPr>
        <w:t xml:space="preserve"> </w:t>
      </w:r>
      <w:r>
        <w:rPr>
          <w:rFonts w:ascii="Nirmala UI" w:hAnsi="Nirmala UI" w:eastAsia="Nirmala UI" w:cs="Nirmala UI"/>
          <w:rtl w:val="1"/>
        </w:rPr>
        <w:t>प्रस्तावना</w:t>
      </w:r>
      <w:r>
        <w:rPr>
          <w:rFonts w:ascii="Segoe UI" w:hAnsi="Segoe UI" w:eastAsia="Segoe UI" w:cs="Segoe UI"/>
          <w:rtl w:val="1"/>
        </w:rPr>
        <w:t xml:space="preserve"> </w:t>
      </w:r>
      <w:r>
        <w:rPr>
          <w:rFonts w:ascii="Nirmala UI" w:hAnsi="Nirmala UI" w:eastAsia="Nirmala UI" w:cs="Nirmala UI"/>
          <w:rtl w:val="1"/>
        </w:rPr>
        <w:t>उनले</w:t>
      </w:r>
      <w:r>
        <w:rPr>
          <w:rFonts w:ascii="Segoe UI" w:hAnsi="Segoe UI" w:eastAsia="Segoe UI" w:cs="Segoe UI"/>
          <w:rtl w:val="1"/>
        </w:rPr>
        <w:t xml:space="preserve"> </w:t>
      </w:r>
      <w:r>
        <w:rPr>
          <w:rFonts w:ascii="Nirmala UI" w:hAnsi="Nirmala UI" w:eastAsia="Nirmala UI" w:cs="Nirmala UI"/>
          <w:rtl w:val="1"/>
        </w:rPr>
        <w:t>यसो</w:t>
      </w:r>
      <w:r>
        <w:rPr>
          <w:rFonts w:ascii="Segoe UI" w:hAnsi="Segoe UI" w:eastAsia="Segoe UI" w:cs="Segoe UI"/>
          <w:rtl w:val="1"/>
        </w:rPr>
        <w:t xml:space="preserve"> </w:t>
      </w:r>
      <w:r>
        <w:rPr>
          <w:rFonts w:ascii="Nirmala UI" w:hAnsi="Nirmala UI" w:eastAsia="Nirmala UI" w:cs="Nirmala UI"/>
          <w:rtl w:val="1"/>
        </w:rPr>
        <w:t>भनेर</w:t>
      </w:r>
      <w:r>
        <w:rPr>
          <w:rFonts w:ascii="Segoe UI" w:hAnsi="Segoe UI" w:eastAsia="Segoe UI" w:cs="Segoe UI"/>
          <w:rtl w:val="1"/>
        </w:rPr>
        <w:t xml:space="preserve"> </w:t>
      </w:r>
      <w:r>
        <w:rPr>
          <w:rFonts w:ascii="Nirmala UI" w:hAnsi="Nirmala UI" w:eastAsia="Nirmala UI" w:cs="Nirmala UI"/>
          <w:rtl w:val="1"/>
        </w:rPr>
        <w:t>गरेका</w:t>
      </w:r>
      <w:r>
        <w:rPr>
          <w:rFonts w:ascii="Segoe UI" w:hAnsi="Segoe UI" w:eastAsia="Segoe UI" w:cs="Segoe UI"/>
          <w:rtl w:val="1"/>
        </w:rPr>
        <w:t xml:space="preserve"> </w:t>
      </w:r>
      <w:r>
        <w:rPr>
          <w:rFonts w:ascii="Nirmala UI" w:hAnsi="Nirmala UI" w:eastAsia="Nirmala UI" w:cs="Nirmala UI"/>
          <w:rtl w:val="1"/>
        </w:rPr>
        <w:t>थिए</w:t>
      </w:r>
      <w:r>
        <w:rPr>
          <w:rFonts w:ascii="Segoe UI" w:hAnsi="Segoe UI" w:eastAsia="Segoe UI" w:cs="Segoe UI"/>
          <w:rtl w:val="1"/>
        </w:rPr>
        <w:t>: »</w:t>
      </w:r>
    </w:p>
    <w:p>
      <w:pPr>
        <w:pStyle w:val="ArticleScripture"/>
        <w:jc w:val="right"/>
        <w:bidi w:val="1"/>
      </w:pPr>
      <w:r>
        <w:rPr>
          <w:rFonts w:ascii="Segoe UI" w:hAnsi="Segoe UI" w:eastAsia="Segoe UI" w:cs="Segoe UI"/>
          <w:rtl w:val="1"/>
        </w:rPr>
        <w:t>«پرسش بار دیگر در حال مطرح شدن است: "ای دیدبان، از شب چه خبر؟" در حال حاضر، تنها مجال چند پرسش است که برای جلب توجه به موضوعی که به آن مربوط می‌شوند، مطرح می‌گردند. ما اعتماد داریم که به‌زودی پاسخی کامل داده خواهد شد.»—Review and Herald، 9 اکتبر 1856.</w:t>
      </w:r>
    </w:p>
    <w:p>
      <w:pPr>
        <w:pStyle w:val="ArticleScripture"/>
        <w:jc w:val="right"/>
        <w:bidi w:val="1"/>
      </w:pPr>
      <w:r>
        <w:rPr>
          <w:rFonts w:ascii="Segoe UI" w:hAnsi="Segoe UI" w:eastAsia="Segoe UI" w:cs="Segoe UI"/>
          <w:rtl w:val="1"/>
        </w:rPr>
        <w:t>«از یازده پرسشی که او مطرح کرد، این پرسش ششم بود که مستقیماً لائودیکیان را هدف قرار داد.»</w:t>
      </w:r>
    </w:p>
    <w:p>
      <w:pPr>
        <w:pStyle w:val="ArticleScripture"/>
        <w:jc w:val="right"/>
        <w:bidi w:val="1"/>
      </w:pPr>
      <w:r>
        <w:rPr>
          <w:rFonts w:ascii="Segoe UI" w:hAnsi="Segoe UI" w:eastAsia="Segoe UI" w:cs="Segoe UI"/>
          <w:rtl w:val="1"/>
        </w:rPr>
        <w:t>«۶. آیا حالت لاادقیان (که نه سردند و نه گرم، بلکه نیم‌گرمند) به‌درستی وضعیتِ جماعتِ کسانی را که به پیام فرشتهٔ سوم اقرار می‌کنند، مجسّم نمی‌سازد؟ — همان‌جا»</w:t>
      </w:r>
    </w:p>
    <w:p>
      <w:pPr>
        <w:pStyle w:val="ArticleScripture"/>
        <w:jc w:val="right"/>
        <w:bidi w:val="1"/>
      </w:pPr>
      <w:r>
        <w:rPr>
          <w:rFonts w:ascii="Segoe UI" w:hAnsi="Segoe UI" w:eastAsia="Segoe UI" w:cs="Segoe UI"/>
          <w:rtl w:val="1"/>
        </w:rPr>
        <w:t>«آخِرین سؤال، موضوع را آشکار می‌سازد:»</w:t>
      </w:r>
    </w:p>
    <w:p>
      <w:pPr>
        <w:pStyle w:val="ArticleScripture"/>
        <w:jc w:val="right"/>
        <w:bidi w:val="1"/>
      </w:pPr>
      <w:r>
        <w:rPr>
          <w:rFonts w:ascii="Segoe UI" w:hAnsi="Segoe UI" w:eastAsia="Segoe UI" w:cs="Segoe UI"/>
          <w:rtl w:val="1"/>
        </w:rPr>
        <w:t>«11. اگر این حالتِ ما به‌عنوانِ یک قوم باشد، آیا برای امید داشتن به لطفِ خدا هیچ مبنای واقعی داریم، مگر آنکه به «مشورت» شاهدِ امین گوش فرا دهیم؟ تو را نصیحت می‌کنم که از من طلای آزموده‌شده در آتش بخری تا دولتمند شوی؛ و جامهٔ سفید تا پوشیده گردی و رسواییِ برهنگیِ تو آشکار نشود؛ و چشمان خود را به سرمهٔ چشم تدهین کن تا بینا شوی. هر که را دوست می‌دارم، توبیخ و تأدیب می‌کنم؛ پس غیور باش و توبه کن. اینک بر در ایستاده، می‌کوبم: اگر کسی آوازِ مرا بشنود و در را بگشاید، به نزد او درخواهم آمد و با او شام خواهم خورد و او با من. آن‌که غالب آید، به او عطا خواهم کرد که با من بر تختِ من بنشیند، چنان‌که من نیز غالب آمدم و با پدرِ خود بر تختِ او نشستم. مکاشفه 3:18–21.—همان.»</w:t>
      </w:r>
    </w:p>
    <w:p>
      <w:pPr>
        <w:pStyle w:val="ArticleScripture"/>
        <w:jc w:val="right"/>
        <w:bidi w:val="1"/>
      </w:pPr>
      <w:r>
        <w:rPr>
          <w:rFonts w:ascii="Segoe UI" w:hAnsi="Segoe UI" w:eastAsia="Segoe UI" w:cs="Segoe UI"/>
          <w:rtl w:val="1"/>
        </w:rPr>
        <w:t>روشن است که حقیقتِ امر تازه داشت بر ذهنِ جیمز وایت طلوع می‌کرد. شمارهٔ بعدیِ Review مقاله‌ای هفت‌ستونی دربارهٔ هفت کلیسا، با همین عنوان، منتشر کرد. او در سخنان افتتاحیهٔ خود اعلام کرد:</w:t>
      </w:r>
    </w:p>
    <w:p>
      <w:pPr>
        <w:pStyle w:val="ArticleScripture"/>
        <w:jc w:val="right"/>
        <w:bidi w:val="1"/>
      </w:pPr>
      <w:r>
        <w:rPr>
          <w:rFonts w:ascii="Segoe UI" w:hAnsi="Segoe UI" w:eastAsia="Segoe UI" w:cs="Segoe UI"/>
          <w:rtl w:val="1"/>
        </w:rPr>
        <w:t>«باید با برخی از مفسّران معاصر موافقت کنیم که این هفت کلیسا را باید نمایانگر هفت وضعیتِ کلیسای مسیحی، در هفت دورهٔ زمانی، دانست که سراسر عرصهٔ تمامی عصر مسیحی را در بر می‌گیرد.»—همان‌جا، 16 اکتبر 1856.</w:t>
      </w:r>
    </w:p>
    <w:p>
      <w:pPr>
        <w:pStyle w:val="ArticleScripture"/>
        <w:jc w:val="right"/>
        <w:bidi w:val="1"/>
      </w:pPr>
      <w:r>
        <w:rPr>
          <w:rFonts w:ascii="Segoe UI" w:hAnsi="Segoe UI" w:eastAsia="Segoe UI" w:cs="Segoe UI"/>
          <w:rtl w:val="1"/>
        </w:rPr>
        <w:t>«سپس نبوّت را برگرفت و هر کلیسا را به‌طور جداگانه بررسی کرد. چون به هفتمین، یعنی لائودیکیه، رسید، اعلام کرد:»</w:t>
      </w:r>
    </w:p>
    <w:p>
      <w:pPr>
        <w:pStyle w:val="ArticleScripture"/>
        <w:jc w:val="right"/>
        <w:bidi w:val="1"/>
      </w:pPr>
      <w:r>
        <w:rPr>
          <w:rFonts w:ascii="Segoe UI" w:hAnsi="Segoe UI" w:eastAsia="Segoe UI" w:cs="Segoe UI"/>
          <w:rtl w:val="1"/>
        </w:rPr>
        <w:t>«چه اندازه این وصف اندوه‌بارِ این کلیسا برای ما به‌عنوان یک قوم، فروتن‌کننده است. و آیا این وصف هولناک، کامل‌ترین تصویرِ وضع کنونیِ ما نیست؟ هست؛ و هیچ سودی نخواهد داشت که بکوشیم از قوّتِ این شهادتِ تفتیش‌کننده به کلیسای لائودکیه بگریزیم. خداوند ما را یاری دهد که آن را بپذیریم و از آن بهره‌مند شویم.—همان‌جا»</w:t>
      </w:r>
    </w:p>
    <w:p>
      <w:pPr>
        <w:pStyle w:val="ArticleScripture"/>
        <w:jc w:val="right"/>
        <w:bidi w:val="1"/>
      </w:pPr>
      <w:r>
        <w:rPr>
          <w:rFonts w:ascii="Segoe UI" w:hAnsi="Segoe UI" w:eastAsia="Segoe UI" w:cs="Segoe UI"/>
          <w:rtl w:val="1"/>
        </w:rPr>
        <w:t>«پس از آن‌که دو ستون را به کلیسای لائودکیه اختصاص داد، سخنان پایانی او استغاثه‌ای نیرومند را بیان می‌کرد:»</w:t>
      </w:r>
    </w:p>
    <w:p>
      <w:pPr>
        <w:pStyle w:val="ArticleScripture"/>
        <w:jc w:val="right"/>
        <w:bidi w:val="1"/>
      </w:pPr>
      <w:r>
        <w:rPr>
          <w:rFonts w:ascii="Segoe UI" w:hAnsi="Segoe UI" w:eastAsia="Segoe UI" w:cs="Segoe UI"/>
          <w:rtl w:val="1"/>
        </w:rPr>
        <w:t>«اے عزیز بھائیو، ہمیں دنیا، نفس اور ابلیس پر غالب آنا ہوگا، ورنہ خدا کی بادشاہی میں ہمارا کوئی حصہ نہ ہوگا.... اسی وقت اس کام کو ہاتھ میں لو، اور ایمان کے ساتھ توبہ کرنے والے لَاؤدِیکیہ کے لوگوں کے لیے کی گئی فیض‌بخش وعدوں کا مطالبہ کرو۔ خداوند کے نام میں اٹھو، اور اپنی روشنی کو اُس کے مبارک نام کے جلال کے لیے چمکنے دو۔—ایضًا»</w:t>
      </w:r>
    </w:p>
    <w:p>
      <w:pPr>
        <w:pStyle w:val="ArticleScripture"/>
        <w:jc w:val="right"/>
        <w:bidi w:val="1"/>
      </w:pPr>
      <w:r>
        <w:rPr>
          <w:rFonts w:ascii="Segoe UI" w:hAnsi="Segoe UI" w:eastAsia="Segoe UI" w:cs="Segoe UI"/>
          <w:rtl w:val="1"/>
        </w:rPr>
        <w:t>’’فیلڈ سے آنے والا ردِّعمل نہایت برق انگیز تھا۔ اوہائیو سے جی۔ ڈبلیو۔ ہولٹ نے 20 اکتوبر کو لکھا:‘‘</w:t>
      </w:r>
    </w:p>
    <w:p>
      <w:pPr>
        <w:pStyle w:val="ArticleScripture"/>
        <w:jc w:val="right"/>
        <w:bidi w:val="1"/>
      </w:pPr>
      <w:r>
        <w:rPr>
          <w:rFonts w:ascii="Segoe UI" w:hAnsi="Segoe UI" w:eastAsia="Segoe UI" w:cs="Segoe UI"/>
          <w:rtl w:val="1"/>
        </w:rPr>
        <w:t>«بله، من یقیناً باور دارم که ما که در پیام سوم با احکام خدا و ایمانِ عیسی هستیم، همان کلیسایی هستیم که این سخن بدان خطاب شده است؛ و هرگز نمی‌توانیم برای درخواستِ طلای آزموده‌شده و جامهٔ سفید و سرمهٔ چشم، تا بتوانیم ببینیم، بیش از اندازه زود اقدام کنیم.—همان‌جا، 6 نوامبر 1856.»</w:t>
      </w:r>
    </w:p>
    <w:p>
      <w:pPr>
        <w:pStyle w:val="ArticleScripture"/>
        <w:jc w:val="right"/>
        <w:bidi w:val="1"/>
      </w:pPr>
      <w:r>
        <w:rPr>
          <w:rFonts w:ascii="Segoe UI" w:hAnsi="Segoe UI" w:eastAsia="Segoe UI" w:cs="Segoe UI"/>
          <w:rtl w:val="1"/>
        </w:rPr>
        <w:t>«از شمال‌شرق، صدایی تازه در این موضوع شنیده شد؛ صدای استیفن اِن. هَسکِل از پرینستونِ ماساچوست. او به‌عنوان ادونتیستِ روزِ اوّل، در بیست‌سالگی به موعظه آغاز کرده بود؛ و اینک سه سال بعد، در پیامِ فرشتهٔ سوم قرار داشت. او که دانشجوی ژرفِ کتاب‌مقدس بود، پس از آن‌که سرمقالهٔ آغازین و کوتاهِ وایت را که این پرسشِ هفت کلیسا را مطرح می‌کرد دیده بود، بر آن شد که برای Review مقاله‌ای مفصّل بنویسد:»</w:t>
      </w:r>
    </w:p>
    <w:p>
      <w:pPr>
        <w:pStyle w:val="ArticleScripture"/>
        <w:jc w:val="right"/>
        <w:bidi w:val="1"/>
      </w:pPr>
      <w:r>
        <w:rPr>
          <w:rFonts w:ascii="Segoe UI" w:hAnsi="Segoe UI" w:eastAsia="Segoe UI" w:cs="Segoe UI"/>
          <w:rtl w:val="1"/>
        </w:rPr>
        <w:t>موضوعِ مذکور گزشتہ چند مہینوں سے میرے لیے نہایت گہری دلچسپی کا باعث رہا ہے.... کچھ عرصہ سے میری راہنمائی اس بات کی طرف ہوئی ہے کہ لاؤدیقیوں کے لیے جو پیغام ہے وہ ہم سے تعلق رکھتا ہے؛ یعنی اُن سے جو تیسرے فرشتے کے پیغام پر ایمان رکھتے ہیں، بہت سے ایسے اسباب کی بنا پر جنہیں میں مضبوط سمجھتا ہوں۔ میں اُن میں سے دو کا ذکر کروں گا۔—Ibid.</w:t>
      </w:r>
    </w:p>
    <w:p>
      <w:pPr>
        <w:pStyle w:val="ArticleScripture"/>
        <w:jc w:val="right"/>
        <w:bidi w:val="1"/>
      </w:pPr>
      <w:r>
        <w:rPr>
          <w:rFonts w:ascii="Segoe UI" w:hAnsi="Segoe UI" w:eastAsia="Segoe UI" w:cs="Segoe UI"/>
          <w:rtl w:val="1"/>
        </w:rPr>
        <w:t>او این کار را می‌کند و دو ستون را به نتیجه‌گیری‌های خود اختصاص می‌دهد. او در پایان چنین اعلام کرد:</w:t>
      </w:r>
    </w:p>
    <w:p>
      <w:pPr>
        <w:pStyle w:val="ArticleScripture"/>
        <w:jc w:val="right"/>
        <w:bidi w:val="1"/>
      </w:pPr>
      <w:r>
        <w:rPr>
          <w:rFonts w:ascii="Segoe UI" w:hAnsi="Segoe UI" w:eastAsia="Segoe UI" w:cs="Segoe UI"/>
          <w:rtl w:val="1"/>
        </w:rPr>
        <w:t>«نظریۀ پیامِ فرشتۀ سوم هرگز، هرگز، بدون جامۀ عروسی که همان پارساییِ مقدّسان است، ما را نجات نخواهد داد. ما باید قدّوسیّت را در ترسِ خداوند به کمال برسانیم.—همان‌جا»</w:t>
      </w:r>
    </w:p>
    <w:p>
      <w:pPr>
        <w:pStyle w:val="ArticleScripture"/>
        <w:jc w:val="right"/>
        <w:bidi w:val="1"/>
      </w:pPr>
      <w:r>
        <w:rPr>
          <w:rFonts w:ascii="Segoe UI" w:hAnsi="Segoe UI" w:eastAsia="Segoe UI" w:cs="Segoe UI"/>
          <w:rtl w:val="1"/>
        </w:rPr>
        <w:t>“هنگامی که جیمز وایت سرمقاله‌های خود را دربارهٔ پیام به کلیسای لائودکیه ادامه می‌داد، مفاهیمی که ادونتیست‌های نگاه‌دارندهٔ سَبَت اکنون در ریویو می‌خواندند، تکان‌دهنده بود؛ اما با تأملی اندیشمندانه و همراه با دعا، روشن شد که این مفاهیم قابل انطباق‌اند. نامه‌های رسیده به سردبیر، حاکی از توافقی نسبتاً عمومی بود و نشان می‌داد که احیایی در جریان است. این‌که آن پیام برانگیزاننده زاییدهٔ هیجان نبود، با نخستین مقاله در شهادت شمارهٔ ۳، که در آوریل ۱۸۵۷ با عنوان Be Zealous and Repent منتشر شد، تأیید گردید. این مقاله با این عبارت آغاز می‌شود: «خداوند در رؤیا چیزهایی را دربارهٔ کلیسا در وضعیت کنونیِ نیم‌گرم آن به من نشان داده است که آن‌ها را برای شما بازگو خواهم کرد.»—1T, p. 141. در اینجا الن وایت آنچه را که دربارهٔ حملات شیطان بر کلیسا از طریق رفاه و دارایی‌های زمینی به او نشان داده شده بود، ارائه کرد.” آرتور وایت، Ellen G. White: The Early Years، جلد ۱، ۳۴۲–۳۴۴.</w:t>
      </w:r>
    </w:p>
    <w:p>
      <w:pPr>
        <w:pStyle w:val="ArticleBody"/>
        <w:jc w:val="right"/>
        <w:bidi w:val="1"/>
      </w:pPr>
      <w:r>
        <w:rPr>
          <w:rFonts w:ascii="Segoe UI" w:hAnsi="Segoe UI" w:eastAsia="Segoe UI" w:cs="Segoe UI"/>
          <w:rtl w:val="1"/>
        </w:rPr>
        <w:t>جنبش میلری به‌طور نبوی به‌عنوان کلیسای فیلادلفیا آغاز شد، و در سال 1856 به کلیسای لائودکیه تبدیل گردید. هفت سال بعد آن جنبش پایان یافت، و کلیسای ادونتیست روز هفتم به‌عنوان کلیسای لائودکیه آغاز شد و چنین باقی خواهد ماند تا از دهان خداوند بیرون افکنده شود. جنبش صد و چهل و چهار هزار از درون حصار کلیسای لائودکیه بیرون آمد، همان‌گونه که جنبش میلری از درون حصار کلیسای ساردِس بیرون آمد. جنبش صد و چهل و چهار هزار با جنبش میلری از این جهت متوازی است که جنبش نخست از فیلادلفیا به لائودکیه تغییر یافت و جنبش آخر از لائودکیه به فیلادلفیا تغییر می‌یابد. نقطهٔ گذار از فیلادلفیا به لائودکیه در تاریخ میلری به‌طور مشخص به‌عنوان سال 1856 معین شده است؛ بنابراین نقطهٔ گذار باید در جنبش آخر نیز مشخص شده باشد، زیرا خدا هرگز تغییر نمی‌کند. نقطهٔ گذار در مکاشفه یازده با آن دو نبی که در کوچه‌های شهر کشته می‌شوند، شناسایی شده است.</w:t>
      </w:r>
    </w:p>
    <w:p>
      <w:pPr>
        <w:pStyle w:val="ArticleScripture"/>
        <w:jc w:val="right"/>
        <w:bidi w:val="1"/>
      </w:pPr>
      <w:r>
        <w:rPr>
          <w:rFonts w:ascii="Segoe UI" w:hAnsi="Segoe UI" w:eastAsia="Segoe UI" w:cs="Segoe UI"/>
          <w:rtl w:val="1"/>
        </w:rPr>
        <w:t>و چون شهادتِ خویش را به انجام رسانند، آن وحش که از هاویه برمی‌آید با ایشان جنگ خواهد کرد، و بر آنان غالب خواهد آمد و ایشان را خواهد کشت. و اجسادِ ایشان در کویِ شهرِ عظیم، که از جهتِ روحانی سُدوم و مصر خوانده می‌شود، جایی که خداوندِ ما نیز در آن مصلوب شد، خواهد افتاد. مکاشفه ۱۱:‏۷، ۸</w:t>
      </w:r>
    </w:p>
    <w:p>
      <w:pPr>
        <w:pStyle w:val="ArticleBody"/>
        <w:jc w:val="right"/>
        <w:bidi w:val="1"/>
      </w:pPr>
      <w:r>
        <w:rPr>
          <w:rFonts w:ascii="Segoe UI" w:hAnsi="Segoe UI" w:eastAsia="Segoe UI" w:cs="Segoe UI"/>
          <w:rtl w:val="1"/>
        </w:rPr>
        <w:t>آخری تحریک مر جائے گی، پھر کھڑی ہوگی اور اس کے بعد عَلَم کے طور پر دوبارہ زندہ کی جائے گی۔ ایسا کرتے ہوئے وہ ریپبلکن سینگ کے ساتھ ہم آہنگ ہو جائے گی۔ ریپبلکن سینگ درندہ کے لیے ایک صورت بناتا ہے، اور جس درندہ کی وہ صورت بناتا ہے اس کا ذکر مکاشفہ سترہ میں کیا گیا ہے، اور اس درندہ کی شناخت پانچویں سر کے طور پر کی گئی ہے جسے مہلک زخم لگا تھا، اور جو آٹھویں سر کے طور پر دوبارہ زندہ کیا جائے گا۔ وہ آٹھویں کے طور پر زندہ کیا جائے گا جو اُن سات میں سے تھا۔</w:t>
      </w:r>
    </w:p>
    <w:p>
      <w:pPr>
        <w:pStyle w:val="ArticleScripture"/>
        <w:jc w:val="right"/>
        <w:bidi w:val="1"/>
      </w:pPr>
      <w:r>
        <w:rPr>
          <w:rFonts w:ascii="Segoe UI" w:hAnsi="Segoe UI" w:eastAsia="Segoe UI" w:cs="Segoe UI"/>
          <w:rtl w:val="1"/>
        </w:rPr>
        <w:t>و آن وحش که بود و نیست، خود او هشتمین است، و از آن هفت است، و به هلاکت می‌رود. مکاشفه ۱۷:۱۱.</w:t>
      </w:r>
    </w:p>
    <w:p>
      <w:pPr>
        <w:pStyle w:val="ArticleBody"/>
        <w:jc w:val="right"/>
        <w:bidi w:val="1"/>
      </w:pPr>
      <w:r>
        <w:rPr>
          <w:rFonts w:ascii="Nirmala UI" w:hAnsi="Nirmala UI" w:eastAsia="Nirmala UI" w:cs="Nirmala UI"/>
          <w:rtl w:val="1"/>
        </w:rPr>
        <w:t>शिंगनुमा</w:t>
      </w:r>
      <w:r>
        <w:rPr>
          <w:rFonts w:ascii="Segoe UI" w:hAnsi="Segoe UI" w:eastAsia="Segoe UI" w:cs="Segoe UI"/>
          <w:rtl w:val="1"/>
        </w:rPr>
        <w:t xml:space="preserve"> </w:t>
      </w:r>
      <w:r>
        <w:rPr>
          <w:rFonts w:ascii="Nirmala UI" w:hAnsi="Nirmala UI" w:eastAsia="Nirmala UI" w:cs="Nirmala UI"/>
          <w:rtl w:val="1"/>
        </w:rPr>
        <w:t>रिपब्लिकन</w:t>
      </w:r>
      <w:r>
        <w:rPr>
          <w:rFonts w:ascii="Segoe UI" w:hAnsi="Segoe UI" w:eastAsia="Segoe UI" w:cs="Segoe UI"/>
          <w:rtl w:val="1"/>
        </w:rPr>
        <w:t xml:space="preserve"> </w:t>
      </w:r>
      <w:r>
        <w:rPr>
          <w:rFonts w:ascii="Nirmala UI" w:hAnsi="Nirmala UI" w:eastAsia="Nirmala UI" w:cs="Nirmala UI"/>
          <w:rtl w:val="1"/>
        </w:rPr>
        <w:t>शक्ति</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पशु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प्रतिमा</w:t>
      </w:r>
      <w:r>
        <w:rPr>
          <w:rFonts w:ascii="Segoe UI" w:hAnsi="Segoe UI" w:eastAsia="Segoe UI" w:cs="Segoe UI"/>
          <w:rtl w:val="1"/>
        </w:rPr>
        <w:t xml:space="preserve"> </w:t>
      </w:r>
      <w:r>
        <w:rPr>
          <w:rFonts w:ascii="Nirmala UI" w:hAnsi="Nirmala UI" w:eastAsia="Nirmala UI" w:cs="Nirmala UI"/>
          <w:rtl w:val="1"/>
        </w:rPr>
        <w:t>बनाएगी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कारण</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डाली</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w:t>
      </w:r>
      <w:r>
        <w:rPr>
          <w:rFonts w:ascii="Nirmala UI" w:hAnsi="Nirmala UI" w:eastAsia="Nirmala UI" w:cs="Nirmala UI"/>
          <w:rtl w:val="1"/>
        </w:rPr>
        <w:t>पुनर्जीवित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पुनर्जीवित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आठवाँ</w:t>
      </w:r>
      <w:r>
        <w:rPr>
          <w:rFonts w:ascii="Segoe UI" w:hAnsi="Segoe UI" w:eastAsia="Segoe UI" w:cs="Segoe UI"/>
          <w:rtl w:val="1"/>
        </w:rPr>
        <w:t xml:space="preserve"> </w:t>
      </w:r>
      <w:r>
        <w:rPr>
          <w:rFonts w:ascii="Nirmala UI" w:hAnsi="Nirmala UI" w:eastAsia="Nirmala UI" w:cs="Nirmala UI"/>
          <w:rtl w:val="1"/>
        </w:rPr>
        <w:t>सिर</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सात</w:t>
      </w:r>
      <w:r>
        <w:rPr>
          <w:rFonts w:ascii="Segoe UI" w:hAnsi="Segoe UI" w:eastAsia="Segoe UI" w:cs="Segoe UI"/>
          <w:rtl w:val="1"/>
        </w:rPr>
        <w:t xml:space="preserve"> </w:t>
      </w:r>
      <w:r>
        <w:rPr>
          <w:rFonts w:ascii="Nirmala UI" w:hAnsi="Nirmala UI" w:eastAsia="Nirmala UI" w:cs="Nirmala UI"/>
          <w:rtl w:val="1"/>
        </w:rPr>
        <w:t>सिरों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प्रोटेस्टेंट</w:t>
      </w:r>
      <w:r>
        <w:rPr>
          <w:rFonts w:ascii="Segoe UI" w:hAnsi="Segoe UI" w:eastAsia="Segoe UI" w:cs="Segoe UI"/>
          <w:rtl w:val="1"/>
        </w:rPr>
        <w:t xml:space="preserve"> </w:t>
      </w:r>
      <w:r>
        <w:rPr>
          <w:rFonts w:ascii="Nirmala UI" w:hAnsi="Nirmala UI" w:eastAsia="Nirmala UI" w:cs="Nirmala UI"/>
          <w:rtl w:val="1"/>
        </w:rPr>
        <w:t>शिंगनुमा</w:t>
      </w:r>
      <w:r>
        <w:rPr>
          <w:rFonts w:ascii="Segoe UI" w:hAnsi="Segoe UI" w:eastAsia="Segoe UI" w:cs="Segoe UI"/>
          <w:rtl w:val="1"/>
        </w:rPr>
        <w:t xml:space="preserve"> </w:t>
      </w:r>
      <w:r>
        <w:rPr>
          <w:rFonts w:ascii="Nirmala UI" w:hAnsi="Nirmala UI" w:eastAsia="Nirmala UI" w:cs="Nirmala UI"/>
          <w:rtl w:val="1"/>
        </w:rPr>
        <w:t>शक्ति</w:t>
      </w:r>
      <w:r>
        <w:rPr>
          <w:rFonts w:ascii="Segoe UI" w:hAnsi="Segoe UI" w:eastAsia="Segoe UI" w:cs="Segoe UI"/>
          <w:rtl w:val="1"/>
        </w:rPr>
        <w:t xml:space="preserve">, </w:t>
      </w:r>
      <w:r>
        <w:rPr>
          <w:rFonts w:ascii="Nirmala UI" w:hAnsi="Nirmala UI" w:eastAsia="Nirmala UI" w:cs="Nirmala UI"/>
          <w:rtl w:val="1"/>
        </w:rPr>
        <w:t>रिपब्लिकन</w:t>
      </w:r>
      <w:r>
        <w:rPr>
          <w:rFonts w:ascii="Segoe UI" w:hAnsi="Segoe UI" w:eastAsia="Segoe UI" w:cs="Segoe UI"/>
          <w:rtl w:val="1"/>
        </w:rPr>
        <w:t xml:space="preserve"> </w:t>
      </w:r>
      <w:r>
        <w:rPr>
          <w:rFonts w:ascii="Nirmala UI" w:hAnsi="Nirmala UI" w:eastAsia="Nirmala UI" w:cs="Nirmala UI"/>
          <w:rtl w:val="1"/>
        </w:rPr>
        <w:t>शिंगनुमा</w:t>
      </w:r>
      <w:r>
        <w:rPr>
          <w:rFonts w:ascii="Segoe UI" w:hAnsi="Segoe UI" w:eastAsia="Segoe UI" w:cs="Segoe UI"/>
          <w:rtl w:val="1"/>
        </w:rPr>
        <w:t xml:space="preserve"> </w:t>
      </w:r>
      <w:r>
        <w:rPr>
          <w:rFonts w:ascii="Nirmala UI" w:hAnsi="Nirmala UI" w:eastAsia="Nirmala UI" w:cs="Nirmala UI"/>
          <w:rtl w:val="1"/>
        </w:rPr>
        <w:t>शक्ति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पृथ्वी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पशु</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सवार</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उसमें</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भविष्यवाणीगत</w:t>
      </w:r>
      <w:r>
        <w:rPr>
          <w:rFonts w:ascii="Segoe UI" w:hAnsi="Segoe UI" w:eastAsia="Segoe UI" w:cs="Segoe UI"/>
          <w:rtl w:val="1"/>
        </w:rPr>
        <w:t xml:space="preserve"> </w:t>
      </w:r>
      <w:r>
        <w:rPr>
          <w:rFonts w:ascii="Nirmala UI" w:hAnsi="Nirmala UI" w:eastAsia="Nirmala UI" w:cs="Nirmala UI"/>
          <w:rtl w:val="1"/>
        </w:rPr>
        <w:t>गतिशीलताएँ</w:t>
      </w:r>
      <w:r>
        <w:rPr>
          <w:rFonts w:ascii="Segoe UI" w:hAnsi="Segoe UI" w:eastAsia="Segoe UI" w:cs="Segoe UI"/>
          <w:rtl w:val="1"/>
        </w:rPr>
        <w:t xml:space="preserve"> </w:t>
      </w:r>
      <w:r>
        <w:rPr>
          <w:rFonts w:ascii="Nirmala UI" w:hAnsi="Nirmala UI" w:eastAsia="Nirmala UI" w:cs="Nirmala UI"/>
          <w:rtl w:val="1"/>
        </w:rPr>
        <w:t>विद्यमान</w:t>
      </w:r>
      <w:r>
        <w:rPr>
          <w:rFonts w:ascii="Segoe UI" w:hAnsi="Segoe UI" w:eastAsia="Segoe UI" w:cs="Segoe UI"/>
          <w:rtl w:val="1"/>
        </w:rPr>
        <w:t xml:space="preserve"> </w:t>
      </w:r>
      <w:r>
        <w:rPr>
          <w:rFonts w:ascii="Nirmala UI" w:hAnsi="Nirmala UI" w:eastAsia="Nirmala UI" w:cs="Nirmala UI"/>
          <w:rtl w:val="1"/>
        </w:rPr>
        <w:t>होना</w:t>
      </w:r>
      <w:r>
        <w:rPr>
          <w:rFonts w:ascii="Segoe UI" w:hAnsi="Segoe UI" w:eastAsia="Segoe UI" w:cs="Segoe UI"/>
          <w:rtl w:val="1"/>
        </w:rPr>
        <w:t xml:space="preserve"> </w:t>
      </w:r>
      <w:r>
        <w:rPr>
          <w:rFonts w:ascii="Nirmala UI" w:hAnsi="Nirmala UI" w:eastAsia="Nirmala UI" w:cs="Nirmala UI"/>
          <w:rtl w:val="1"/>
        </w:rPr>
        <w:t>आवश्यक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मिलरवादी</w:t>
      </w:r>
      <w:r>
        <w:rPr>
          <w:rFonts w:ascii="Segoe UI" w:hAnsi="Segoe UI" w:eastAsia="Segoe UI" w:cs="Segoe UI"/>
          <w:rtl w:val="1"/>
        </w:rPr>
        <w:t xml:space="preserve"> </w:t>
      </w:r>
      <w:r>
        <w:rPr>
          <w:rFonts w:ascii="Nirmala UI" w:hAnsi="Nirmala UI" w:eastAsia="Nirmala UI" w:cs="Nirmala UI"/>
          <w:rtl w:val="1"/>
        </w:rPr>
        <w:t>आंदोलन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फिलाडेल्फिया</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लाओदीकिया</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संक्रमण</w:t>
      </w:r>
      <w:r>
        <w:rPr>
          <w:rFonts w:ascii="Segoe UI" w:hAnsi="Segoe UI" w:eastAsia="Segoe UI" w:cs="Segoe UI"/>
          <w:rtl w:val="1"/>
        </w:rPr>
        <w:t xml:space="preserve">, </w:t>
      </w:r>
      <w:r>
        <w:rPr>
          <w:rFonts w:ascii="Nirmala UI" w:hAnsi="Nirmala UI" w:eastAsia="Nirmala UI" w:cs="Nirmala UI"/>
          <w:rtl w:val="1"/>
        </w:rPr>
        <w:t>अंतिम</w:t>
      </w:r>
      <w:r>
        <w:rPr>
          <w:rFonts w:ascii="Segoe UI" w:hAnsi="Segoe UI" w:eastAsia="Segoe UI" w:cs="Segoe UI"/>
          <w:rtl w:val="1"/>
        </w:rPr>
        <w:t xml:space="preserve"> </w:t>
      </w:r>
      <w:r>
        <w:rPr>
          <w:rFonts w:ascii="Nirmala UI" w:hAnsi="Nirmala UI" w:eastAsia="Nirmala UI" w:cs="Nirmala UI"/>
          <w:rtl w:val="1"/>
        </w:rPr>
        <w:t>आंदोलन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लाओदीकिया</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फिलाडेल्फिया</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संक्रमण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पूर्वाभास</w:t>
      </w:r>
      <w:r>
        <w:rPr>
          <w:rFonts w:ascii="Segoe UI" w:hAnsi="Segoe UI" w:eastAsia="Segoe UI" w:cs="Segoe UI"/>
          <w:rtl w:val="1"/>
        </w:rPr>
        <w:t xml:space="preserve"> </w:t>
      </w:r>
      <w:r>
        <w:rPr>
          <w:rFonts w:ascii="Nirmala UI" w:hAnsi="Nirmala UI" w:eastAsia="Nirmala UI" w:cs="Nirmala UI"/>
          <w:rtl w:val="1"/>
        </w:rPr>
        <w:t>प्रस्तुत</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p>
    <w:p>
      <w:pPr>
        <w:pStyle w:val="ArticleBody"/>
        <w:jc w:val="right"/>
        <w:bidi w:val="1"/>
      </w:pP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अंतिम</w:t>
      </w:r>
      <w:r>
        <w:rPr>
          <w:rFonts w:ascii="Segoe UI" w:hAnsi="Segoe UI" w:eastAsia="Segoe UI" w:cs="Segoe UI"/>
          <w:rtl w:val="1"/>
        </w:rPr>
        <w:t xml:space="preserve"> </w:t>
      </w:r>
      <w:r>
        <w:rPr>
          <w:rFonts w:ascii="Nirmala UI" w:hAnsi="Nirmala UI" w:eastAsia="Nirmala UI" w:cs="Nirmala UI"/>
          <w:rtl w:val="1"/>
        </w:rPr>
        <w:t>आंदोलन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18 </w:t>
      </w:r>
      <w:r>
        <w:rPr>
          <w:rFonts w:ascii="Nirmala UI" w:hAnsi="Nirmala UI" w:eastAsia="Nirmala UI" w:cs="Nirmala UI"/>
          <w:rtl w:val="1"/>
        </w:rPr>
        <w:t>जुलाई</w:t>
      </w:r>
      <w:r>
        <w:rPr>
          <w:rFonts w:ascii="Segoe UI" w:hAnsi="Segoe UI" w:eastAsia="Segoe UI" w:cs="Segoe UI"/>
          <w:rtl w:val="1"/>
        </w:rPr>
        <w:t xml:space="preserve">, 2020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घातक</w:t>
      </w:r>
      <w:r>
        <w:rPr>
          <w:rFonts w:ascii="Segoe UI" w:hAnsi="Segoe UI" w:eastAsia="Segoe UI" w:cs="Segoe UI"/>
          <w:rtl w:val="1"/>
        </w:rPr>
        <w:t xml:space="preserve"> </w:t>
      </w:r>
      <w:r>
        <w:rPr>
          <w:rFonts w:ascii="Nirmala UI" w:hAnsi="Nirmala UI" w:eastAsia="Nirmala UI" w:cs="Nirmala UI"/>
          <w:rtl w:val="1"/>
        </w:rPr>
        <w:t>घाव</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लाओदीकिया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प्रकाशितवाक्य</w:t>
      </w:r>
      <w:r>
        <w:rPr>
          <w:rFonts w:ascii="Segoe UI" w:hAnsi="Segoe UI" w:eastAsia="Segoe UI" w:cs="Segoe UI"/>
          <w:rtl w:val="1"/>
        </w:rPr>
        <w:t xml:space="preserve"> </w:t>
      </w:r>
      <w:r>
        <w:rPr>
          <w:rFonts w:ascii="Nirmala UI" w:hAnsi="Nirmala UI" w:eastAsia="Nirmala UI" w:cs="Nirmala UI"/>
          <w:rtl w:val="1"/>
        </w:rPr>
        <w:t>अध्याय</w:t>
      </w:r>
      <w:r>
        <w:rPr>
          <w:rFonts w:ascii="Segoe UI" w:hAnsi="Segoe UI" w:eastAsia="Segoe UI" w:cs="Segoe UI"/>
          <w:rtl w:val="1"/>
        </w:rPr>
        <w:t xml:space="preserve"> </w:t>
      </w:r>
      <w:r>
        <w:rPr>
          <w:rFonts w:ascii="Nirmala UI" w:hAnsi="Nirmala UI" w:eastAsia="Nirmala UI" w:cs="Nirmala UI"/>
          <w:rtl w:val="1"/>
        </w:rPr>
        <w:t>ग्यारह</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निरूपित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फिलादेल्फिया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रूपांतरित</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आठवें</w:t>
      </w:r>
      <w:r>
        <w:rPr>
          <w:rFonts w:ascii="Segoe UI" w:hAnsi="Segoe UI" w:eastAsia="Segoe UI" w:cs="Segoe UI"/>
          <w:rtl w:val="1"/>
        </w:rPr>
        <w:t xml:space="preserve"> </w:t>
      </w:r>
      <w:r>
        <w:rPr>
          <w:rFonts w:ascii="Nirmala UI" w:hAnsi="Nirmala UI" w:eastAsia="Nirmala UI" w:cs="Nirmala UI"/>
          <w:rtl w:val="1"/>
        </w:rPr>
        <w:t>कलीसिया</w:t>
      </w:r>
      <w:r>
        <w:rPr>
          <w:rFonts w:ascii="Segoe UI" w:hAnsi="Segoe UI" w:eastAsia="Segoe UI" w:cs="Segoe UI"/>
          <w:rtl w:val="1"/>
        </w:rPr>
        <w:t>-</w:t>
      </w:r>
      <w:r>
        <w:rPr>
          <w:rFonts w:ascii="Nirmala UI" w:hAnsi="Nirmala UI" w:eastAsia="Nirmala UI" w:cs="Nirmala UI"/>
          <w:rtl w:val="1"/>
        </w:rPr>
        <w:t>युग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प्रतिनिधित्व</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अर्थात्</w:t>
      </w:r>
      <w:r>
        <w:rPr>
          <w:rFonts w:ascii="Segoe UI" w:hAnsi="Segoe UI" w:eastAsia="Segoe UI" w:cs="Segoe UI"/>
          <w:rtl w:val="1"/>
        </w:rPr>
        <w:t xml:space="preserve"> </w:t>
      </w:r>
      <w:r>
        <w:rPr>
          <w:rFonts w:ascii="Nirmala UI" w:hAnsi="Nirmala UI" w:eastAsia="Nirmala UI" w:cs="Nirmala UI"/>
          <w:rtl w:val="1"/>
        </w:rPr>
        <w:t>सात</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वर्ष</w:t>
      </w:r>
      <w:r>
        <w:rPr>
          <w:rFonts w:ascii="Segoe UI" w:hAnsi="Segoe UI" w:eastAsia="Segoe UI" w:cs="Segoe UI"/>
          <w:rtl w:val="1"/>
        </w:rPr>
        <w:t xml:space="preserve"> 2020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हुई</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मृत्यु</w:t>
      </w:r>
      <w:r>
        <w:rPr>
          <w:rFonts w:ascii="Segoe UI" w:hAnsi="Segoe UI" w:eastAsia="Segoe UI" w:cs="Segoe UI"/>
          <w:rtl w:val="1"/>
        </w:rPr>
        <w:t xml:space="preserve"> </w:t>
      </w:r>
      <w:r>
        <w:rPr>
          <w:rFonts w:ascii="Nirmala UI" w:hAnsi="Nirmala UI" w:eastAsia="Nirmala UI" w:cs="Nirmala UI"/>
          <w:rtl w:val="1"/>
        </w:rPr>
        <w:t>रिपब्लिकन</w:t>
      </w:r>
      <w:r>
        <w:rPr>
          <w:rFonts w:ascii="Segoe UI" w:hAnsi="Segoe UI" w:eastAsia="Segoe UI" w:cs="Segoe UI"/>
          <w:rtl w:val="1"/>
        </w:rPr>
        <w:t xml:space="preserve"> </w:t>
      </w:r>
      <w:r>
        <w:rPr>
          <w:rFonts w:ascii="Nirmala UI" w:hAnsi="Nirmala UI" w:eastAsia="Nirmala UI" w:cs="Nirmala UI"/>
          <w:rtl w:val="1"/>
        </w:rPr>
        <w:t>सींग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समानांतर</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1989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अंत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अब</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छह</w:t>
      </w:r>
      <w:r>
        <w:rPr>
          <w:rFonts w:ascii="Segoe UI" w:hAnsi="Segoe UI" w:eastAsia="Segoe UI" w:cs="Segoe UI"/>
          <w:rtl w:val="1"/>
        </w:rPr>
        <w:t xml:space="preserve"> </w:t>
      </w:r>
      <w:r>
        <w:rPr>
          <w:rFonts w:ascii="Nirmala UI" w:hAnsi="Nirmala UI" w:eastAsia="Nirmala UI" w:cs="Nirmala UI"/>
          <w:rtl w:val="1"/>
        </w:rPr>
        <w:t>राष्ट्रपति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चुके</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छठे</w:t>
      </w:r>
      <w:r>
        <w:rPr>
          <w:rFonts w:ascii="Segoe UI" w:hAnsi="Segoe UI" w:eastAsia="Segoe UI" w:cs="Segoe UI"/>
          <w:rtl w:val="1"/>
        </w:rPr>
        <w:t xml:space="preserve"> </w:t>
      </w:r>
      <w:r>
        <w:rPr>
          <w:rFonts w:ascii="Nirmala UI" w:hAnsi="Nirmala UI" w:eastAsia="Nirmala UI" w:cs="Nirmala UI"/>
          <w:rtl w:val="1"/>
        </w:rPr>
        <w:t>राष्ट्रपति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घातक</w:t>
      </w:r>
      <w:r>
        <w:rPr>
          <w:rFonts w:ascii="Segoe UI" w:hAnsi="Segoe UI" w:eastAsia="Segoe UI" w:cs="Segoe UI"/>
          <w:rtl w:val="1"/>
        </w:rPr>
        <w:t xml:space="preserve"> </w:t>
      </w:r>
      <w:r>
        <w:rPr>
          <w:rFonts w:ascii="Nirmala UI" w:hAnsi="Nirmala UI" w:eastAsia="Nirmala UI" w:cs="Nirmala UI"/>
          <w:rtl w:val="1"/>
        </w:rPr>
        <w:t>घाव</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2024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चंगा</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सिर</w:t>
      </w:r>
      <w:r>
        <w:rPr>
          <w:rFonts w:ascii="Segoe UI" w:hAnsi="Segoe UI" w:eastAsia="Segoe UI" w:cs="Segoe UI"/>
          <w:rtl w:val="1"/>
        </w:rPr>
        <w:t xml:space="preserve"> 1989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अंत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संयुक्त</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अमेरिका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आठवाँ</w:t>
      </w:r>
      <w:r>
        <w:rPr>
          <w:rFonts w:ascii="Segoe UI" w:hAnsi="Segoe UI" w:eastAsia="Segoe UI" w:cs="Segoe UI"/>
          <w:rtl w:val="1"/>
        </w:rPr>
        <w:t xml:space="preserve"> </w:t>
      </w:r>
      <w:r>
        <w:rPr>
          <w:rFonts w:ascii="Nirmala UI" w:hAnsi="Nirmala UI" w:eastAsia="Nirmala UI" w:cs="Nirmala UI"/>
          <w:rtl w:val="1"/>
        </w:rPr>
        <w:t>सिर</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सात</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सींग</w:t>
      </w:r>
      <w:r>
        <w:rPr>
          <w:rFonts w:ascii="Segoe UI" w:hAnsi="Segoe UI" w:eastAsia="Segoe UI" w:cs="Segoe UI"/>
          <w:rtl w:val="1"/>
        </w:rPr>
        <w:t xml:space="preserve"> </w:t>
      </w:r>
      <w:r>
        <w:rPr>
          <w:rFonts w:ascii="Nirmala UI" w:hAnsi="Nirmala UI" w:eastAsia="Nirmala UI" w:cs="Nirmala UI"/>
          <w:rtl w:val="1"/>
        </w:rPr>
        <w:t>छठे</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आठवें</w:t>
      </w:r>
      <w:r>
        <w:rPr>
          <w:rFonts w:ascii="Segoe UI" w:hAnsi="Segoe UI" w:eastAsia="Segoe UI" w:cs="Segoe UI"/>
          <w:rtl w:val="1"/>
        </w:rPr>
        <w:t xml:space="preserve"> </w:t>
      </w:r>
      <w:r>
        <w:rPr>
          <w:rFonts w:ascii="Nirmala UI" w:hAnsi="Nirmala UI" w:eastAsia="Nirmala UI" w:cs="Nirmala UI"/>
          <w:rtl w:val="1"/>
        </w:rPr>
        <w:t>बनते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सत्य</w:t>
      </w:r>
      <w:r>
        <w:rPr>
          <w:rFonts w:ascii="Segoe UI" w:hAnsi="Segoe UI" w:eastAsia="Segoe UI" w:cs="Segoe UI"/>
          <w:rtl w:val="1"/>
        </w:rPr>
        <w:t xml:space="preserve"> </w:t>
      </w:r>
      <w:r>
        <w:rPr>
          <w:rFonts w:ascii="Nirmala UI" w:hAnsi="Nirmala UI" w:eastAsia="Nirmala UI" w:cs="Nirmala UI"/>
          <w:rtl w:val="1"/>
        </w:rPr>
        <w:t>यीशु</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प्रकाशितवाक्य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संदेश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बड़ा</w:t>
      </w:r>
      <w:r>
        <w:rPr>
          <w:rFonts w:ascii="Segoe UI" w:hAnsi="Segoe UI" w:eastAsia="Segoe UI" w:cs="Segoe UI"/>
          <w:rtl w:val="1"/>
        </w:rPr>
        <w:t xml:space="preserve"> </w:t>
      </w:r>
      <w:r>
        <w:rPr>
          <w:rFonts w:ascii="Nirmala UI" w:hAnsi="Nirmala UI" w:eastAsia="Nirmala UI" w:cs="Nirmala UI"/>
          <w:rtl w:val="1"/>
        </w:rPr>
        <w:t>भाग</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अनुग्रह</w:t>
      </w:r>
      <w:r>
        <w:rPr>
          <w:rFonts w:ascii="Segoe UI" w:hAnsi="Segoe UI" w:eastAsia="Segoe UI" w:cs="Segoe UI"/>
          <w:rtl w:val="1"/>
        </w:rPr>
        <w:t>-</w:t>
      </w:r>
      <w:r>
        <w:rPr>
          <w:rFonts w:ascii="Nirmala UI" w:hAnsi="Nirmala UI" w:eastAsia="Nirmala UI" w:cs="Nirmala UI"/>
          <w:rtl w:val="1"/>
        </w:rPr>
        <w:t>अवधि</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बंद</w:t>
      </w:r>
      <w:r>
        <w:rPr>
          <w:rFonts w:ascii="Segoe UI" w:hAnsi="Segoe UI" w:eastAsia="Segoe UI" w:cs="Segoe UI"/>
          <w:rtl w:val="1"/>
        </w:rPr>
        <w:t xml:space="preserve"> </w:t>
      </w:r>
      <w:r>
        <w:rPr>
          <w:rFonts w:ascii="Nirmala UI" w:hAnsi="Nirmala UI" w:eastAsia="Nirmala UI" w:cs="Nirmala UI"/>
          <w:rtl w:val="1"/>
        </w:rPr>
        <w:t>होने</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ठीक</w:t>
      </w:r>
      <w:r>
        <w:rPr>
          <w:rFonts w:ascii="Segoe UI" w:hAnsi="Segoe UI" w:eastAsia="Segoe UI" w:cs="Segoe UI"/>
          <w:rtl w:val="1"/>
        </w:rPr>
        <w:t xml:space="preserve"> </w:t>
      </w: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खोला</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p>
    <w:p>
      <w:pPr>
        <w:pStyle w:val="ArticleBody"/>
        <w:jc w:val="right"/>
        <w:bidi w:val="1"/>
      </w:pPr>
      <w:r>
        <w:rPr>
          <w:rFonts w:ascii="Segoe UI" w:hAnsi="Segoe UI" w:eastAsia="Segoe UI" w:cs="Segoe UI"/>
          <w:rtl w:val="1"/>
        </w:rPr>
        <w:t>به این سبب، مهم است که دربارۀ تاریخ میلریتی که مظهر تاریخ کنونی ماست، به‌روشنی سخن گفته شود. خواهر وایت در سال ۱۸۵۶، انطباق جیمز وایت از لائودیکیه بر این جنبش را تأیید کرد؛ پس این کاربرد، استنتاجی برخاسته از منطق انسانی نیست. هفت سال پیش از آنکه کلیسای ادونتیست روز هفتم از نظر قانونی با شاخ جمهوری‌خواه پیوند یابد، به‌وسیلهٔ الهام به‌عنوان کلیسای لائودیکیه شناخته شده بود. این بدان معناست که در سراسر تاریخ کلیسای ادونتیست روز هفتم، حتی یک روز نیز نبوده است که آن چیزی جز برهنه، فقیر، کور، بیچاره و شقی بوده باشد. این واقعیت نبوی، زمینه و توجیه لازم را برای تشخیص چهار رجاستِ فزایندۀ باب هشتم حزقیال به‌عنوان چهار نسل ادونتیسم فراهم می‌آورد.</w:t>
      </w:r>
    </w:p>
    <w:p>
      <w:pPr>
        <w:pStyle w:val="ArticleBody"/>
        <w:jc w:val="right"/>
        <w:bidi w:val="1"/>
      </w:pPr>
      <w:r>
        <w:rPr>
          <w:rFonts w:ascii="Segoe UI" w:hAnsi="Segoe UI" w:eastAsia="Segoe UI" w:cs="Segoe UI"/>
          <w:rtl w:val="1"/>
        </w:rPr>
        <w:t>جب میلرائیٹ تاریخ کو یسعیاہ سات کے پینسٹھ برسوں کی ساخت کے تناظر میں دیکھا جاتا ہے، تو یہ تسلیم کرنا لازم ہے کہ ’’سات اوقات‘‘ کی پیشین گوئی وہ نبوتی چھتری ہے جو میلرائیٹ تحریک کی پوری تاریخ پر محیط ہے۔ 1856 میں لاؤدیکیہ کی کلیسیا کے لیے پیغام میلرائیٹ ایڈونٹ ازم کے لیے موجودہ سچائی بن گیا۔ لاؤدیکیہ کا پیغام پیش کرنے والا نہ جیمز تھا نہ ایلن وائٹ، بلکہ وہ وفادار اور سچا گواہ تھا۔</w:t>
      </w:r>
    </w:p>
    <w:p>
      <w:pPr>
        <w:pStyle w:val="ArticleScripture"/>
        <w:jc w:val="right"/>
        <w:bidi w:val="1"/>
      </w:pPr>
      <w:r>
        <w:rPr>
          <w:rFonts w:ascii="Segoe UI" w:hAnsi="Segoe UI" w:eastAsia="Segoe UI" w:cs="Segoe UI"/>
          <w:rtl w:val="1"/>
        </w:rPr>
        <w:t>اور به فرشتهٔ کلیسای لائودکیان بنویس: این است آنچه آمین، آن شاهد امین و راستین، و مبدأ آفرینش خدا می‌گوید: اعمال تو را می‌دانم، که نه سردی و نه گرم؛ کاش سرد بودی یا گرم. پس چون ولرم هستی، و نه سرد و نه گرم، تو را از دهان خود قی خواهم کرد. زیرا می‌گویی: دولتمندم و بر مال خود افزوده‌ام و به هیچ چیز محتاج نیستم؛ و نمی‌دانی که تو تیره‌بخت و اسف‌انگیز و فقیر و کور و عریانی. تو را اندرز می‌دهم که از من زرِ آزموده در آتش بخری تا دولتمند شوی؛ و جامهٔ سفید تا پوشیده گردی و رسواییِ عریانیِ تو آشکار نشود؛ و سرمه بر چشمانت بمال تا بینا شوی. هر که را دوست می‌دارم، توبیخ و تأدیب می‌کنم؛ پس غیور باش و توبه کن. اینک بر در ایستاده‌ام و می‌کوبم؛ اگر کسی آواز مرا بشنود و در را بگشاید، نزد او درخواهم آمد و با او شام خواهم خورد، و او نیز با من. آن که غالب آید، به او عطا خواهم کرد که با من بر تخت من بنشیند، چنان‌که من نیز غالب آمدم و با پدرم بر تخت او نشستم. هر که گوش دارد، بشنود که روح به کلیساها چه می‌گوید. مکاشفه ۳:‏۱۴–۲۲.</w:t>
      </w:r>
    </w:p>
    <w:p>
      <w:pPr>
        <w:pStyle w:val="ArticleBody"/>
        <w:jc w:val="right"/>
        <w:bidi w:val="1"/>
      </w:pPr>
      <w:r>
        <w:rPr>
          <w:rFonts w:ascii="Segoe UI" w:hAnsi="Segoe UI" w:eastAsia="Segoe UI" w:cs="Segoe UI"/>
          <w:rtl w:val="1"/>
        </w:rPr>
        <w:t>گواهِ امین تصریح می‌کند که اگر کسی بخواهد آواز او را «بشنود»، او داخل خواهد شد و با وی «شام خواهد خورد». اگر لائودکیه در را بگشاید، مسیح داخل خواهد شد و با آنان شام خواهد خورد. اگر به مسیح اجازه داده شود که وارد شود، او پیامی می‌آورد، زیرا نماد خوردن بیانگر پذیرش یک پیام است. این پیام را می‌توان به‌طور کلی صرفاً پیام لائودکیه دانست، اما این برداشتی سطحی از معنای پیامی است که او عرضه می‌کند. در سال 1856، هیرام ادسن مجموعه‌ای از هشت مقاله را ارائه کرد که حاوی اطلاعات نبوی بود که فهمِ همان نخستین «نبوت زمانی» را که فرشتگان خدا ویلیام میلر را به شناخت و اعلان آن هدایت کردند، بسط می‌دهد. ادسن در آن هشت مقاله، شصت‌وپنج سالِ اشعیا هفت را به‌درستی مشخص می‌کند.</w:t>
      </w:r>
    </w:p>
    <w:p>
      <w:pPr>
        <w:pStyle w:val="ArticleBody"/>
        <w:jc w:val="right"/>
        <w:bidi w:val="1"/>
      </w:pPr>
      <w:r>
        <w:rPr>
          <w:rFonts w:ascii="Segoe UI" w:hAnsi="Segoe UI" w:eastAsia="Segoe UI" w:cs="Segoe UI"/>
          <w:rtl w:val="1"/>
        </w:rPr>
        <w:t>آغاز کار میلر، کشفِ هفت زمان بود؛ و هفت سال پیش از آن‌که جنبشی که به سبب خدمت او به نامش خوانده می‌شد به پایان رسد، مکاشفه‌ای عمیق‌تر از همان نبوت به ادونتیسمِ میلری عرضه شد. این مکاشفه در همان سالی عرضه شد که آنان به‌وسیلهٔ الهام، لائودیکیان خوانده شدند. از نظر نبوی، دو هزار و پانصد و بیست روز بعد، در سال ۱۸۶۳، نخستین کشفِ میلر دربارهٔ زمانِ نبوی رد شد. پیامِ لائودیکیّه برای جنبش ادونتی در سال ۱۸۵۶ رسید، و خداوند هشت بار بر در کوبید، با هشت مقاله، تا ببیند آیا می‌تواند راهی برای ورود بیابد. در پایانِ جنبش، شاهدِ امین آرزو داشت با قومِ خود شام بخورد، و بر همان نخستین پیامِ زمان از آغازِ جنبش، با ایشان هم‌سفره شود. قومِ او از خوردن امتناع ورزیدند، و هفت سال، یا دو هزار و پانصد و بیست روزِ نبوی، بعد، قومِ او دری را بستند که با کلیدِ داوود، که در دستِ ویلیام میلر نهاده شده بود، گشوده شده بود. آنان به نزدِ آن نبیِ کهنهٔ سامری بازگشتند که دروغی به ایشان خورانید، و سرنوشتِ خویش را مُهر کردند تا میانِ الاغ و شیر بمیرند.</w:t>
      </w:r>
    </w:p>
    <w:p>
      <w:pPr>
        <w:pStyle w:val="ArticleBody"/>
        <w:jc w:val="right"/>
        <w:bidi w:val="1"/>
      </w:pPr>
      <w:r>
        <w:rPr>
          <w:rFonts w:ascii="Segoe UI" w:hAnsi="Segoe UI" w:eastAsia="Segoe UI" w:cs="Segoe UI"/>
          <w:rtl w:val="1"/>
        </w:rPr>
        <w:t>در سال ۱۸۵۶، شاخِ پروتستان در بحرانِ درّهٔ رؤیا قرار داشت، زیرا هرجا رؤیا نباشد، قوم هلاک می‌شود. در سال ۱۸۵۶، شاخِ جمهوری‌خواه نیز در بحران بود.</w:t>
      </w:r>
    </w:p>
    <w:p>
      <w:pPr>
        <w:pStyle w:val="ArticleBody"/>
        <w:jc w:val="right"/>
        <w:bidi w:val="1"/>
      </w:pPr>
      <w:r>
        <w:rPr>
          <w:rFonts w:ascii="Segoe UI" w:hAnsi="Segoe UI" w:eastAsia="Segoe UI" w:cs="Segoe UI"/>
          <w:rtl w:val="1"/>
        </w:rPr>
        <w:t>۱۸۵۶، نمایانگر تداومِ درگیری خشونت‌باری بود که به «کانزاسِ خونین»، جنگ مرزیِ کانزاس-میسوری، شهرت یافته است. این کشمکش بر سر آن بود که آیا کانزاس به‌عنوان ایالتی آزاد یا ایالتی برده‌دار به اتحادیه خواهد پیوست. این منازعه شامل برخوردهای خشونت‌آمیز میان مهاجرانِ طرفدارِ برده‌داری و مخالفِ برده‌داری بود.</w:t>
      </w:r>
    </w:p>
    <w:p>
      <w:pPr>
        <w:pStyle w:val="ArticleBody"/>
        <w:jc w:val="right"/>
        <w:bidi w:val="1"/>
      </w:pPr>
      <w:r>
        <w:rPr>
          <w:rFonts w:ascii="Segoe UI" w:hAnsi="Segoe UI" w:eastAsia="Segoe UI" w:cs="Segoe UI"/>
          <w:rtl w:val="1"/>
        </w:rPr>
        <w:t>در 22 مه 1856، حادثه‌ای خشونت‌بار نیز در تالار سنای ایالات متحده رخ داد، هنگامی که پرستون بروکس، نمایندهٔ کنگره و طرفدار برده‌داری از کارولینای جنوبی، سناتور چارلز سومنر از ماساچوست را به‌طرزی بی‌رحمانه با عصای خود مورد حمله قرار داد. سومنر پیش‌تر نطقی ضد برده‌داری با عنوان «جنایت علیه کانزاس» ایراد کرده بود که بروکس را سخت آزرده بود. واقعهٔ عصازدن، تنش‌های فزاینده میان شمال و جنوب را بر سر مسئلهٔ برده‌داری آشکار ساخت.</w:t>
      </w:r>
    </w:p>
    <w:p>
      <w:pPr>
        <w:pStyle w:val="ArticleBody"/>
        <w:jc w:val="right"/>
        <w:bidi w:val="1"/>
      </w:pPr>
      <w:r>
        <w:rPr>
          <w:rFonts w:ascii="Segoe UI" w:hAnsi="Segoe UI" w:eastAsia="Segoe UI" w:cs="Segoe UI"/>
          <w:rtl w:val="1"/>
        </w:rPr>
        <w:t>در سال ۱۸۵۶، حزب جمهوری‌خواه در پاسخ به آشوب سیاسی‌ای که قانون کانزاس-نبراسکا، مصوب ۱۸۵۴، پدید آورده بود، تأسیس شد؛ قانونی که مخالفتِ فزاینده با گسترش برده‌داری به سرزمین‌های جدید را برانگیخت. نخستین مجمع ملی این حزب در فیلادلفیا برگزار شد، و جان سی. فریمونت به‌عنوان نخستین نامزد ریاست‌جمهوری آنان در انتخابات ۱۸۵۶ برگزیده شد.</w:t>
      </w:r>
    </w:p>
    <w:p>
      <w:pPr>
        <w:pStyle w:val="ArticleBody"/>
        <w:jc w:val="right"/>
        <w:bidi w:val="1"/>
      </w:pPr>
      <w:r>
        <w:rPr>
          <w:rFonts w:ascii="Segoe UI" w:hAnsi="Segoe UI" w:eastAsia="Segoe UI" w:cs="Segoe UI"/>
          <w:rtl w:val="1"/>
        </w:rPr>
        <w:t>قانون کانزاس-نبراسکا، سرزمین‌های کانزاس و نبراسکا را سازمان‌دهی کرد و به ساکنان آن سرزمین‌ها اجازه داد که تصمیم بگیرند آیا برده‌داری را در داخل مرزهای خود مجاز خواهند شمرد یا نه. این مفهوم که به «حاکمیت مردمی» معروف بود، عملاً مصالحهٔ میزوریِ ۱۸۲۰ را لغو کرد؛ مصالحه‌ای که برده‌داری را در شمال مدار ۳۶°۳۰' در قلمرو لوئیزیانا ممنوع ساخته بود. این قانون تأثیری عمیق بر مسئلهٔ برده‌داری در سرزمین‌ها گذاشت. این قانون تنش‌های منطقه‌ای را از نو شعله‌ور ساخت، زیرا این امکان را گشود که برده‌داری به نواحی‌ای گسترش یابد که پیش‌تر خاک آزاد به شمار می‌رفتند، مانند کانزاس. تصویب قانون کانزاس-نبراسکا موجب هجوم سریع مهاجرانِ طرفدار برده‌داری و مخالف برده‌داری به قلمرو کانزاس شد؛ هر یک امیدوار بودند بر نتیجهٔ رأی‌گیریِ حاکمیت مردمی اثر بگذارند. این رقابت برای به دست گرفتن کنترل قلمرو، به درگیری‌های خشونت‌آمیز و دوره‌ای از بی‌قانونی انجامید که در سال ۱۸۵۶ با نام «کانزاس خونین» شناخته شد.</w:t>
      </w:r>
    </w:p>
    <w:p>
      <w:pPr>
        <w:pStyle w:val="ArticleBody"/>
        <w:jc w:val="right"/>
        <w:bidi w:val="1"/>
      </w:pPr>
      <w:r>
        <w:rPr>
          <w:rFonts w:ascii="Segoe UI" w:hAnsi="Segoe UI" w:eastAsia="Segoe UI" w:cs="Segoe UI"/>
          <w:rtl w:val="1"/>
        </w:rPr>
        <w:t>انتخابات ریاست‌جمهوری سال ۱۸۵۶ رویدادی سیاسیِ مهمی بود. این انتخابات شامل رقابتی سه‌جانبه میان جیمز بیوکننِ دموکرات، جان سی. فریمونتِ جمهوری‌خواه، و رئیس‌جمهور پیشین، میلارد فیلمور، از حزب آمریکایی بود. جیمز بیوکنن در این انتخابات پیروز شد و پانزدهمین رئیس‌جمهور ایالات متحده گردید.</w:t>
      </w:r>
    </w:p>
    <w:p>
      <w:pPr>
        <w:pStyle w:val="ArticleBody"/>
        <w:jc w:val="right"/>
        <w:bidi w:val="1"/>
      </w:pPr>
      <w:r>
        <w:rPr>
          <w:rFonts w:ascii="Segoe UI" w:hAnsi="Segoe UI" w:eastAsia="Segoe UI" w:cs="Segoe UI"/>
          <w:rtl w:val="1"/>
        </w:rPr>
        <w:t>ریاست‌جمهوری جیمز بوکانن عمدتاً به سبب ناتوانی‌اش در رسیدگی مؤثر به تنش‌ها و شکاف‌های فزاینده میان شمال و جنوب شناخته می‌شود؛ امری که سرانجام اندکی پس از ترک مقام از سوی او، به آغاز جنگ داخلی آمریکا انجامید. ریاست‌جمهوری او، به دلیل این ناکامی‌های مهم در رهبری و مدیریت بحران، غالباً یکی از کم‌موفقیت‌ترین دوره‌های ریاست‌جمهوری در تاریخ آمریکا دانسته می‌شود.</w:t>
      </w:r>
    </w:p>
    <w:p>
      <w:pPr>
        <w:pStyle w:val="ArticleBody"/>
        <w:jc w:val="right"/>
        <w:bidi w:val="1"/>
      </w:pPr>
      <w:r>
        <w:rPr>
          <w:rFonts w:ascii="Segoe UI" w:hAnsi="Segoe UI" w:eastAsia="Segoe UI" w:cs="Segoe UI"/>
          <w:rtl w:val="1"/>
        </w:rPr>
        <w:t>رأی بدنامِ «دِرِد اِسکات» در سال ۱۸۵۷ اعلام کرد که بردگان، خواه در بندگی باشند و خواه آزاد، شهروند محسوب نمی‌شوند و نمی‌توانند در محکمه‌های فدرال اقامۀ دعوا کنند. همچنین اعلام داشت که کنگره نمی‌تواند از برده‌داری در قلمروهای ایالات متحدۀ امریکا جلوگیری کند. دموکرات، بوکانان، علناً از رأی طرفدارِ برده‌داریِ «دِرِد اِسکات» حمایت کرد.</w:t>
      </w:r>
    </w:p>
    <w:p>
      <w:pPr>
        <w:pStyle w:val="ArticleBody"/>
        <w:jc w:val="right"/>
        <w:bidi w:val="1"/>
      </w:pPr>
      <w:r>
        <w:rPr>
          <w:rFonts w:ascii="Segoe UI" w:hAnsi="Segoe UI" w:eastAsia="Segoe UI" w:cs="Segoe UI"/>
          <w:rtl w:val="1"/>
        </w:rPr>
        <w:t>بنانچانِ دیموکرات کی غلامی‌هوادارانه نه‌تنها اجازه داد تنش‌ها تا آستانهٔ جنگ داخلی تشدید شود، بلکه ناتوانی او در ادارهٔ اقتصاد کشور به وحشت مالیِ ۱۸۵۷ انجامید؛ بحرانی که پیش از رکود بزرگ، یکی از شدیدترین افول‌های اقتصادی در تاریخ آمریکا به‌شمار می‌رفت. وحشت مالیِ ۱۸۵۷ به رکودی اقتصادیِ سخت منجر شد که چندین سال ادامه یافت. کسب‌وکارها و بانک‌ها تعطیل شدند، بیکاری افزایش یافت و بازار سهام سقوط کرد.</w:t>
      </w:r>
    </w:p>
    <w:p>
      <w:pPr>
        <w:pStyle w:val="ArticleBody"/>
        <w:jc w:val="right"/>
        <w:bidi w:val="1"/>
      </w:pPr>
      <w:r>
        <w:rPr>
          <w:rFonts w:ascii="Segoe UI" w:hAnsi="Segoe UI" w:eastAsia="Segoe UI" w:cs="Segoe UI"/>
          <w:rtl w:val="1"/>
        </w:rPr>
        <w:t>جمہوریہ کے صدر بوکنن کے دورِ صدارت میں جنوبی ریاستوں نے اتحاد سے علیحدگی کے اپنے عمل کا آغاز کیا، اور انہوں نے 1860 میں ریپبلکن ابراہام لنکن کے انتخاب کے ردِّعمل میں اتحاد سے علیحدگی اختیار کی۔ بوکنن نے علیحدگی کے بحران کے بارے میں ایک غیر فعال طرزِ عمل اپنایا، اور یہ مؤقف اختیار کیا کہ وفاقی حکومت کے پاس اس بات کا اختیار نہیں کہ وہ بزورِ قوت علیحدگی کو روکے۔ اس فیصلہ کن اقدام کے فقدان نے تحریکِ علیحدگی کو زور پکڑنے کا موقع دیا۔ اس کی مضبوط قیادت کے فقدان اور علیحدگی کے بحران سے نمٹنے کے لیے فیصلہ کن اقدام کرنے میں اس کی ہچکچاہٹ نے جنوب کے اس تاثر کو تقویت دی کہ وہ عسکری مزاحمت کا سامنا کیے بغیر اتحاد سے الگ ہو سکتا ہے۔</w:t>
      </w:r>
    </w:p>
    <w:p>
      <w:pPr>
        <w:pStyle w:val="ArticleBody"/>
        <w:jc w:val="right"/>
        <w:bidi w:val="1"/>
      </w:pPr>
      <w:r>
        <w:rPr>
          <w:rFonts w:ascii="Segoe UI" w:hAnsi="Segoe UI" w:eastAsia="Segoe UI" w:cs="Segoe UI"/>
          <w:rtl w:val="1"/>
        </w:rPr>
        <w:t>در سال ۱۸۶۰، آبراهام لینکلن، نخستین رئیس‌جمهور جمهوری‌خواه، انتخاب شد. در ۱ ژانویهٔ ۱۸۶۳، رئیس‌جمهور لینکلن «اعلامیهٔ نهایی آزادی بردگان» را امضا و صادر کرد که اعلام می‌داشت همهٔ افرادِ در بردگی در سرزمین‌های تحت کنترل کنفدراسیون باید آزاد شوند. این فرمان اجرایی تأثیر چشمگیری بر جنگ داخلی داشت، زیرا این منازعه را نه تنها به پیکاری برای حفظ اتحادیه، بلکه همچنین به تلاشی برای پایان دادن به برده‌داری بدل کرد. «اعلامیهٔ آزادی بردگان» بلافاصله همهٔ بردگان را آزاد نکرد. این اعلامیه به‌طور مشخص در مورد سرزمین‌های تحت کنترل کنفدراسیون اِعمال می‌شد، جایی که اتحادیه اقتدار محدودی داشت. با پیشروی نیروهای اتحادیه و به دست گرفتن کنترل بر سرزمین‌های کنفدراسیون، این اعلامیه به اجرا گذاشته شد و بردگانِ آن مناطق آزاد شدند. «اعلامیهٔ آزادی بردگان» گامی سرنوشت‌ساز به سوی الغای نهایی برده‌داری در ایالات متحده بود و راه را برای تصویب متمم سیزدهم قانون اساسی ایالات متحده هموار کرد؛ متممی که در ۶ دسامبر ۱۸۶۵ به تصویب رسید و تنفیذ شد.</w:t>
      </w:r>
    </w:p>
    <w:p>
      <w:pPr>
        <w:pStyle w:val="ArticleBody"/>
        <w:jc w:val="right"/>
        <w:bidi w:val="1"/>
      </w:pPr>
      <w:r>
        <w:rPr>
          <w:rFonts w:ascii="Segoe UI" w:hAnsi="Segoe UI" w:eastAsia="Segoe UI" w:cs="Segoe UI"/>
          <w:rtl w:val="1"/>
        </w:rPr>
        <w:t>شاخِ جمهوری‌خواه از دههٔ ۱۸۵۰ به بعد در بحرانِ مسئلهٔ برده‌داری قرار داشت. دو تقسیمِ اصلی در کشور، نمایانگرِ دو طبقهٔ اصلیِ اندیشهٔ سیاسی بود. فرایندِ جداسازی در سال ۱۸۵۶ آغاز شد، آنگاه که گروه‌های موافق و مخالفِ برده‌داری برای تثبیت دیدگاه‌های خود دربارهٔ برده‌داری به قلمروِ کانزاس رفتند، درست در همان زمانی که فیلادلفیا از لائودیکیه جدا می‌شد. دموکرات‌ها طرفدارِ برده‌داری بودند و جمهوری‌خواهان مخالفِ برده‌داری.</w:t>
      </w:r>
    </w:p>
    <w:p>
      <w:pPr>
        <w:pStyle w:val="ArticleBody"/>
        <w:jc w:val="right"/>
        <w:bidi w:val="1"/>
      </w:pPr>
      <w:r>
        <w:rPr>
          <w:rFonts w:ascii="Segoe UI" w:hAnsi="Segoe UI" w:eastAsia="Segoe UI" w:cs="Segoe UI"/>
          <w:rtl w:val="1"/>
        </w:rPr>
        <w:t>در سال ۱۸۵۶، «کانزاسِ خونین» بازنماییِ خردجهانی از جنگِ قریب‌الوقوع بود. در آن سال، یک دموکراتِ طرفدارِ برده‌داری به‌عنوان رهبرِ شاخِ جمهوری‌خواه برگزیده شد، و رهبریِ ناکارآمدِ او، تا همین ایامِ واپسینِ اخیر، به نمادِ یک ریاست‌جمهوریِ ناکارآمد بدل گردید. او پیش از نخستین رئیس‌جمهورِ جمهوری‌خواه آمد؛ همان کسی که ناگزیر شد آشفتگیِ بر جای مانده از ریاست‌جمهوریِ بوکنن را سامان دهد.</w:t>
      </w:r>
    </w:p>
    <w:p>
      <w:pPr>
        <w:pStyle w:val="ArticleBody"/>
        <w:jc w:val="right"/>
        <w:bidi w:val="1"/>
      </w:pPr>
      <w:r>
        <w:rPr>
          <w:rFonts w:ascii="Segoe UI" w:hAnsi="Segoe UI" w:eastAsia="Segoe UI" w:cs="Segoe UI"/>
          <w:rtl w:val="1"/>
        </w:rPr>
        <w:t>تا سال ۱۸۶۳، شاخِ جمهوری‌خواه مهم‌ترین فرمان اجرایی را در تاریخِ حیوانِ زمینیِ مکاشفه سیزده صادر کرد. این فرمان اجرایی به مسئله برده‌داری می‌پرداخت. یکی از بندهای این اعلامیه چنین می‌گوید: «اینکه در نخستین روز ژانویه، در سالِ خداوندگارِ ما هزار و هشتصد و شصت و سه، تمامی اشخاصی که در هر ایالت یا بخشِ تعیین‌شده‌ای از یک ایالت، که مردم آن در آن زمان در حال شورش علیه ایالات متحده باشند، در بردگی نگاه داشته شده‌اند، از همان هنگام، از آن پس، و برای همیشه آزاد خواهند بود؛ و حکومت اجرایی ایالات متحده، از جمله اقتدار نظامی و دریایی آن، آزادی چنین اشخاصی را به رسمیت خواهد شناخت و آن را حفظ خواهد کرد، و هیچ اقدام یا اقداماتی برای سرکوب چنین اشخاصی، یا هیچ‌یک از ایشان، در هیچ کوششی که ممکن است برای آزادی واقعی خویش انجام دهند، به عمل نخواهد آورد.» هرچند حل مسئله برده‌داری در آن مقطع از نظر تاریخی کامل نبود، جوهرِ قانون اساسی هنگامی شناخته می‌شود که لینکلن نوشت: «تمامی اشخاصی که در هر ایالت در بردگی نگاه داشته شده‌اند ... از همان هنگام، از آن پس، و برای همیشه آزاد خواهند بود.»</w:t>
      </w:r>
    </w:p>
    <w:p>
      <w:pPr>
        <w:pStyle w:val="ArticleBody"/>
        <w:jc w:val="right"/>
        <w:bidi w:val="1"/>
      </w:pPr>
      <w:r>
        <w:rPr>
          <w:rFonts w:ascii="Segoe UI" w:hAnsi="Segoe UI" w:eastAsia="Segoe UI" w:cs="Segoe UI"/>
          <w:rtl w:val="1"/>
        </w:rPr>
        <w:t>لنکن به اصلِ بنیادینی بازمی‌گشت که در قانون اساسی بیان شده است، اصلی که تصریح می‌کند «همهٔ انسان‌ها برابر آفریده شده‌اند.» لنکن در همان زمانی به حقایق بنیادین بازمی‌گشت که شاخِ پروتستان نبوتِ بنیادین خود را رد می‌کرد، یعنی نبوتِ بردگی را. ازاین‌رو، درست در همان زمانی که شاخِ جمهوری‌خواه مهم‌ترین «فرمان اجرایی» تاریخ خود را دربارهٔ بردگی صادر می‌کرد، شاخِ پروتستان نیز مهم‌ترین فرمان اجرایی را در تاریخ نبویِ خود دربارهٔ نبوتِ بردگی، که به‌وسیلهٔ سوگند و لعنتِ موسی نمادپردازی شده است، صادر کرد. شاخِ جمهوری‌خواه بازگشت به بنیادها را برگزید؛ شاخِ پروتستان برگزید که بنیاد خود را رد کند و به سوی همان کسانی بازگردد که به او تعلیم داده شده بود هرگز به سوی آنان بازنگردد.</w:t>
      </w:r>
    </w:p>
    <w:p>
      <w:pPr>
        <w:pStyle w:val="ArticleBody"/>
        <w:jc w:val="right"/>
        <w:bidi w:val="1"/>
      </w:pPr>
      <w:r>
        <w:rPr>
          <w:rFonts w:ascii="Segoe UI" w:hAnsi="Segoe UI" w:eastAsia="Segoe UI" w:cs="Segoe UI"/>
          <w:rtl w:val="1"/>
        </w:rPr>
        <w:t>در سال ۱۸۶۳، شاخِ جمهوری‌خواه به دو اردوگاه تقسیم شده بود، همان‌گونه که پادشاهی اسرائیلِ باستان در روزگار یربعام و رحبعام تقسیم شد. در سال ۱۸۶۳، شاخِ پروتستان به‌گونه‌ای قانونی به شاخِ جمهوری‌خواه پیوست، چنان‌که این امر به‌وسیلهٔ دو مذبحِ یربعام در بیت‌ئیل و دان نمود یافته است. این دو شاخ در تاریخ به‌طور موازی با یکدیگر حرکت می‌کنند، و تاریخِ ۱۸۶۳، به‌ویژه، نمایانگرِ تاریخِ ایامِ آخر است.</w:t>
      </w:r>
    </w:p>
    <w:p>
      <w:pPr>
        <w:pStyle w:val="ArticleBody"/>
        <w:jc w:val="right"/>
        <w:bidi w:val="1"/>
      </w:pPr>
      <w:r>
        <w:rPr>
          <w:rFonts w:ascii="Segoe UI" w:hAnsi="Segoe UI" w:eastAsia="Segoe UI" w:cs="Segoe UI"/>
          <w:rtl w:val="1"/>
        </w:rPr>
        <w:t>تاریخ میلری در تاریخِ صد و چهل و چهار هزار با چند قیدِ نبوی تکرار می‌شود. یکی از آن قیود این است که مخاطبِ هدف در تاریخ میلری، نخست کسانی بودند که بیرون از جنبش قرار داشتند، و پس از آن خودِ جنبش. در جنبشِ صد و چهل و چهار هزار، دو صدای مکاشفه هجده دو مخاطبِ هدف را مشخص می‌سازند، اما این اهداف نسبت به تاریخ میلری معکوس‌اند. هدفِ نخست، قومِ خداست، و صدای دوم، دیگر گلهٔ خداست که هنوز در بابل هستند.</w:t>
      </w:r>
    </w:p>
    <w:p>
      <w:pPr>
        <w:pStyle w:val="ArticleBody"/>
        <w:jc w:val="right"/>
        <w:bidi w:val="1"/>
      </w:pPr>
      <w:r>
        <w:rPr>
          <w:rFonts w:ascii="Segoe UI" w:hAnsi="Segoe UI" w:eastAsia="Segoe UI" w:cs="Segoe UI"/>
          <w:rtl w:val="1"/>
        </w:rPr>
        <w:t>هشدار نبویِ دیگری این است که هرچند هر دو تاریخ از یک کلیسا به کلیسای دیگر انتقال می‌یابند، میلری‌ها از فیلادلفیا به لائودیکیه منتقل شدند، و حرکت عظیمِ فرشتهٔ سوم از لائودیکیه به فیلادلفیا منتقل می‌شود. این امر نشان می‌دهد که میلری‌ها از کلیسای ششم به کلیسای هفتم رفتند، و یکصد و چهل و چهار هزار نفر از کلیسای هفتم به کلیسای هشتم می‌روند، که از آنِ هفت است.</w:t>
      </w:r>
    </w:p>
    <w:p>
      <w:pPr>
        <w:pStyle w:val="ArticleBody"/>
        <w:jc w:val="right"/>
        <w:bidi w:val="1"/>
      </w:pPr>
      <w:r>
        <w:rPr>
          <w:rFonts w:ascii="Segoe UI" w:hAnsi="Segoe UI" w:eastAsia="Segoe UI" w:cs="Segoe UI"/>
          <w:rtl w:val="1"/>
        </w:rPr>
        <w:t>شاخِ جمهوری‌خواه در تاریخِ پیرامونِ سالِ ۱۸۶۳ حرکتِ خود را از ملتی برده‌دار به‌سوی ملتی ضدِ برده‌داری آغاز کرد. بحرانِ آن تاریخ، دو حزبِ سیاسی را تثبیت کرد که در این «ایامِ آخر» همان خصمانِ یکدیگرند. همان‌گونه که نخستین رئیس‌جمهورِ جمهوری‌خواهِ آن تاریخ تنها چند روز پس از پایانِ جنگ ترور شد، آخرین رئیس‌جمهورِ جمهوری‌خواه نیز به‌طور نمادین ترور شد و چون مرده در کوچه و خیابان واگذاشته شد، در حالی که جهان شادی می‌کرد. او ترور شد، نه فقط چند روز پس از پایانِ جنگِ داخلی، بلکه درست پیش از آنکه جنگِ داخلیِ نهایی آغاز شود.</w:t>
      </w:r>
    </w:p>
    <w:p>
      <w:pPr>
        <w:pStyle w:val="ArticleBody"/>
        <w:jc w:val="right"/>
        <w:bidi w:val="1"/>
      </w:pPr>
      <w:r>
        <w:rPr>
          <w:rFonts w:ascii="Segoe UI" w:hAnsi="Segoe UI" w:eastAsia="Segoe UI" w:cs="Segoe UI"/>
          <w:rtl w:val="1"/>
        </w:rPr>
        <w:t>نخستین رئیس‌جمهور جمهوری‌خواه را ناکارآمدترین رئیس‌جمهور تاریخ آمریکا پیشی گرفت، و آخرین رئیس‌جمهور جمهوری‌خواه نیز به همان‌سان از سوی همان‌گونه رئیس‌جمهوری پیشی گرفته خواهد شد. ناکارآمدیِ رئیس‌جمهور دموکراتی که پیش از نخستین رئیس‌جمهور جمهوری‌خواه بود، بحرانی را شتاب بخشید که به جنگ داخلی انجامید، و همین ناکارآمدی اکنون نیز در حال وقوع است. رئیس‌جمهور دموکراتی که پیش از آخرین رئیس‌جمهور جمهوری‌خواه می‌آید، اقتصاد را به‌گونه‌ای اداره کرد که تا آن زمان بزرگ‌ترین فروپاشی اقتصادیِ تاریخ آمریکا را پدید آورد. آن دو شاخ تا قانون یکشنبه به‌طور موازی امتداد می‌یابند. در سال 1863، نخستین نسلِ هر دو شاخ آغاز شد، و برای هر دو شاخ، نسل چهارم و نهایی رو به سوی مشرق خواهد داشت و به خورشید سجده خواهد کرد.</w:t>
      </w:r>
    </w:p>
    <w:p>
      <w:pPr>
        <w:pStyle w:val="ArticleBody"/>
        <w:jc w:val="right"/>
        <w:bidi w:val="1"/>
      </w:pPr>
      <w:r>
        <w:rPr>
          <w:rFonts w:ascii="Segoe UI" w:hAnsi="Segoe UI" w:eastAsia="Segoe UI" w:cs="Segoe UI"/>
          <w:rtl w:val="1"/>
        </w:rPr>
        <w:t>پیام ایلیا همواره با داوری‌های خدا همراه است که پیام هشدار را تأیید می‌کنند. جامعهٔ جهان اکنون همان‌گونه زندگی می‌کند که مردم پیش از طوفان زندگی می‌کردند. آنان می‌خورند، می‌نوشند و انتظار دارند غول‌های فناورانهٔ جهانی‌گرا هر مشکلی را که ممکن است پیش آید، حل کنند. کلام خدا آشکار می‌سازد که جهان اکنون در آستانهٔ بحرانی عظیم قرار دارد.</w:t>
      </w:r>
    </w:p>
    <w:p>
      <w:pPr>
        <w:pStyle w:val="ArticleScripture"/>
        <w:jc w:val="right"/>
        <w:bidi w:val="1"/>
      </w:pPr>
      <w:r>
        <w:rPr>
          <w:rFonts w:ascii="Segoe UI" w:hAnsi="Segoe UI" w:eastAsia="Segoe UI" w:cs="Segoe UI"/>
          <w:rtl w:val="1"/>
        </w:rPr>
        <w:t>«“شب چه شد؟” آیا اهمیت این پیام‌ها را درمی‌یابم؟ آیا جایگاهی را که آنها در کار پایانیِ نظام عظیمِ علاج‌بخش اشغال می‌کنند، درک می‌کنم؟ آیا آن‌چنان با «کلامِ استوارِ نبوت» آشنا هستم که بتوانم در رویدادهایی که در پیرامونم در حال وقوع است، شواهدی قطعی ببینم که پادشاهِ آینده حتی بر در است؟ آیا با توجه به نوری که خدا عطا کرده است، مسئولیتی را که بر من قرار دارد احساس می‌کنم؟ آیا هر استعدادی را که او به‌عنوان مباشر خود به من سپرده است، در تلاشی سنجیده و درست‌هدایت‌شده برای نجاتِ در حال هلاکتان به کار می‌برم؟ یا سست و بی‌تفاوت‌ام، تا اندازه‌ای با جهانی شریر درآمیخته، و وسایل و توانایی‌ای را که خدا به من داده است، عمدتاً در ارضای نفس به کار می‌گیرم، و برای آسایش و راحتیِ خود بیش از پیشرفتِ آرمان او اهتمام می‌ورزم؟ آیا من با سلوک خود این «اعتقادی را که در جهان رو به گسترش بوده است تقویت می‌کنم که ادونتیست‌های روز هفتم شیپور را به آوایی نامعلوم می‌نوازند، و در طریقِ دنیاپرستان گام برمی‌دارند»؟»</w:t>
      </w:r>
    </w:p>
    <w:p>
      <w:pPr>
        <w:pStyle w:val="ArticleScripture"/>
        <w:jc w:val="right"/>
        <w:bidi w:val="1"/>
      </w:pPr>
      <w:r>
        <w:rPr>
          <w:rFonts w:ascii="Segoe UI" w:hAnsi="Segoe UI" w:eastAsia="Segoe UI" w:cs="Segoe UI"/>
          <w:rtl w:val="1"/>
        </w:rPr>
        <w:t>«ما گام‌های خدای نزدیک‌شونده را می‌شنویم که می‌آید تا جهان را به سبب گناهشان مجازات کند. پایان زمان بر ما بسیار نزدیک است. ساکنان جهان در دسته‌ها بسته می‌شوند تا سوزانده شوند. آیا شما نیز با کَرکَسان بسته خواهید شد؟ آیا درک می‌کنید که هر سال هزاران و هزاران و ده‌هزاران جان هلاک می‌شوند و در گناهان خود می‌میرند؟ بلاها و داوری‌های خدا هم‌اکنون نیز کار خود را انجام می‌دهند، و جان‌ها به سوی هلاکت می‌روند، زیرا نور حقیقت بر مسیر آنان تابانده نشده است.» General Conference Daily Bulletin, April 1, 1897.</w:t>
      </w:r>
    </w:p>
    <w:p>
      <w:pPr>
        <w:pStyle w:val="ArticleScripture"/>
        <w:jc w:val="right"/>
        <w:bidi w:val="1"/>
      </w:pPr>
      <w:r>
        <w:rPr>
          <w:rFonts w:ascii="Segoe UI" w:hAnsi="Segoe UI" w:eastAsia="Segoe UI" w:cs="Segoe UI"/>
          <w:rtl w:val="1"/>
        </w:rPr>
        <w:t>با جانِ خویش تو را در شب اشتیاق ورزیده‌ام؛ آری، با روح خود که در درون من است، بامدادان تو را خواهم جست؛ زیرا چون احکام تو در زمین جاری گردد، ساکنان جهان عدالت را خواهند آموخت. اشعیا 26:9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ایلیاہ — نمبر دس</dc:title>
  <dc:subject/>
  <dc:creator>Jeff Pippenger</dc:creator>
  <cp:keywords/>
  <dc:description>Generated by ArticleDigger from elijah\10_elijah.json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