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لائودیکیا - شمارهٔ دو</w:t>
      </w:r>
    </w:p>
    <w:p>
      <w:pPr>
        <w:pStyle w:val="ArticleSubtitle"/>
        <w:jc w:val="right"/>
        <w:bidi w:val="1"/>
      </w:pPr>
      <w:r>
        <w:rPr>
          <w:rFonts w:ascii="Segoe UI" w:hAnsi="Segoe UI" w:eastAsia="Segoe UI" w:cs="Segoe UI"/>
          <w:rtl w:val="1"/>
        </w:rPr>
        <w:t>شاخ پروتستانی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2023-08-27</w:t>
      </w:r>
    </w:p>
    <w:p>
      <w:pPr>
        <w:pStyle w:val="ArticleBody"/>
        <w:jc w:val="right"/>
        <w:bidi w:val="1"/>
      </w:pPr>
      <w:r>
        <w:rPr>
          <w:rFonts w:ascii="Segoe UI" w:hAnsi="Segoe UI" w:eastAsia="Segoe UI" w:cs="Segoe UI"/>
          <w:rtl w:val="1"/>
        </w:rPr>
        <w:t>برای فهم پیامی که در کتاب مکاشفه گشوده می‌شود، ضروری است که ریشه‌ها، سیر تحول و اهمیت اصلاحات پروتستان شناخته شود. سه خط اصلی در تاریخ آن اصلاحات، به کتاب‌مقدس، و نیز به روش‌شناسی درستِ مورد استفاده در مطالعهٔ کتاب‌مقدس می‌پردازند، و همچنین نشان می‌دهند که پیام‌آورانِ برگزیده در طول آن تاریخ، نشانه‌های راهِ آن تاریخ هستند. چنان‌که همواره چنین بوده است، شیطان کوشید تا کتاب‌مقدسِ کینگ جیمز را با چندین جعل پنهان سازد، و نیز سعی کرد روش‌شناسی درست برای فهم کتاب‌مقدس را با چندین جعل مخفی کند، و همچنین تلاش نمود پیام‌آوران درست (نشانه‌های راه) را که در مسیر آن تاریخ برانگیخته شدند، پنهان سازد.</w:t>
      </w:r>
    </w:p>
    <w:p>
      <w:pPr>
        <w:pStyle w:val="ArticleScripture"/>
        <w:jc w:val="right"/>
        <w:bidi w:val="1"/>
      </w:pPr>
      <w:r>
        <w:rPr>
          <w:rFonts w:ascii="Segoe UI" w:hAnsi="Segoe UI" w:eastAsia="Segoe UI" w:cs="Segoe UI"/>
          <w:rtl w:val="1"/>
        </w:rPr>
        <w:t>«اما شیطان بیکار ننشست. او اکنون در پی آن برآمد که همان کاری را انجام دهد که در هر جنبش اصلاحی دیگر بدان کوشیده است—یعنی با جا زدنِ یک بدل به جای کار حقیقی، قوم را بفریبد و نابود سازد. همان‌گونه که در سدهٔ نخستِ کلیسای مسیحی، مسیح‌های دروغین بودند، در سدهٔ شانزدهم نیز انبیای کاذب برخاستند.» نبرد عظیم، 186.</w:t>
      </w:r>
    </w:p>
    <w:p>
      <w:pPr>
        <w:pStyle w:val="ArticleBody"/>
        <w:jc w:val="right"/>
        <w:bidi w:val="1"/>
      </w:pPr>
      <w:r>
        <w:rPr>
          <w:rFonts w:ascii="Segoe UI" w:hAnsi="Segoe UI" w:eastAsia="Segoe UI" w:cs="Segoe UI"/>
          <w:rtl w:val="1"/>
        </w:rPr>
        <w:t>در تاریخ میلری از ۱۸۴۰ تا ۱۸۴۴، ردای پروتستانیسم ــ که یکی از دو شاخِ وحشِ زمین، یعنی ایالات متحده، است ــ بر ادونتیسمِ میلری قرار گرفت، و ادونتیسم میلری به شاخ پروتستان بدل شد. در همان زمان، کلیساهایی که پیش‌تر مدعی پروتستان بودن بودند، به پروتستانیسم مرتد مبدل گشتند، یا چنان‌که میلریان آنان را می‌شناختند، «دختران روم». هنگامی که پروتستان‌ها در سال ۱۸۴۳ پیام فرشتهٔ اول را رد کردند، سقوط کردند و میلریان حامل ردای پروتستانیسم باقی ماندند. تاریخ میلری اوج کار خدا در رساندن «کلیسای او در بیابان» به فهم کامل کلام خدا بود.</w:t>
      </w:r>
    </w:p>
    <w:p>
      <w:pPr>
        <w:pStyle w:val="ArticleBody"/>
        <w:jc w:val="right"/>
        <w:bidi w:val="1"/>
      </w:pPr>
      <w:r>
        <w:rPr>
          <w:rFonts w:ascii="Segoe UI" w:hAnsi="Segoe UI" w:eastAsia="Segoe UI" w:cs="Segoe UI"/>
          <w:rtl w:val="1"/>
        </w:rPr>
        <w:t>د گناه پلټونکي قضا د پرانېستې سره د خدای د شریعت، او په ځانګړي ډول د سبت، ازموینه راورسېده. د درېیمې فرښتې د پیغام اعلان داسې کلیسا ته اړتیا لرله چې د خدای شریعت یې ټینګ نیولی وای؛ هماغه شریعت چې د تیارو پېړیو په دوران کې د پاپۍ د رواجونو او دودونو لاندې ښخ شوی و. مسیح پروتستانان د 1840 څخه تر 1844 پورې تاریخ ته راوستل او د الیاس ازموینه یې ور وښوده، چې ویلیم میلر یې نمونه و؛ او کله چې پروتستانانو د میلر پیغام رد کړ، نو روم ته بېرته وګرځېدل. د لومړۍ فرښتې د پیغام ازموینه، لکه څنګه چې د میلر له خوا اعلان شوه، په کرمل غره کې د الیاس له خوا تمثیل شوې وه.</w:t>
      </w:r>
    </w:p>
    <w:p>
      <w:pPr>
        <w:pStyle w:val="ArticleScripture"/>
        <w:jc w:val="right"/>
        <w:bidi w:val="1"/>
      </w:pPr>
      <w:r>
        <w:rPr>
          <w:rFonts w:ascii="Segoe UI" w:hAnsi="Segoe UI" w:eastAsia="Segoe UI" w:cs="Segoe UI"/>
          <w:rtl w:val="1"/>
        </w:rPr>
        <w:t>و ایلیاہ سب لوگوں کے پاس آیا اور کہا، تم کب تک دو رائے کے درمیان لنگڑاتے رہو گے؟ اگر خداوند ہی خدا ہے تو اُس کی پیروی کرو؛ لیکن اگر بعل ہے تو اُس کی پیروی کرو۔ اور لوگوں نے اُس کے جواب میں ایک لفظ بھی نہ کہا۔ 1 سلاطین 18:21۔</w:t>
      </w:r>
    </w:p>
    <w:p>
      <w:pPr>
        <w:pStyle w:val="ArticleBody"/>
        <w:jc w:val="right"/>
        <w:bidi w:val="1"/>
      </w:pPr>
      <w:r>
        <w:rPr>
          <w:rFonts w:ascii="Segoe UI" w:hAnsi="Segoe UI" w:eastAsia="Segoe UI" w:cs="Segoe UI"/>
          <w:rtl w:val="1"/>
        </w:rPr>
        <w:t>در سال ۱۸۴۰، هنگامی که پروتستان‌ها با پیام ایلیا، که به‌وسیلهٔ میلر و فرشتهٔ نخست نمایان شده بود، روبه‌رو شدند، بعل را برگزیدند!</w:t>
      </w:r>
    </w:p>
    <w:p>
      <w:pPr>
        <w:pStyle w:val="ArticleBody"/>
        <w:jc w:val="right"/>
        <w:bidi w:val="1"/>
      </w:pPr>
      <w:r>
        <w:rPr>
          <w:rFonts w:ascii="Segoe UI" w:hAnsi="Segoe UI" w:eastAsia="Segoe UI" w:cs="Segoe UI"/>
          <w:rtl w:val="1"/>
        </w:rPr>
        <w:t>اصلاحِ پروٹسٹنٹ بائبل کی اُن سچائیوں کے مُہر کھلنے کا عمل تھا، جس کا آغاز اُس “صبح کے ستارے” سے ہوا، جس کے دیے جانے کا وعدہ کلیسیائے تھواتیرا کی نمائندہ تاریخ کے دوران کیا گیا تھا۔ بائبل کے خلاف براہِ راست حملہ اس سے کئی صدیاں پہلے شروع ہو چکا تھا، اور عظیم نزاع میں، خاص طور پر والڈنسیوں کی تاریخ کے حوالے سے، نہایت واضح طور پر پیش کیا گیا ہے۔ 1930ء میں، بنجمن ولکرسن نے Our Authorized Bible Vindicated کے عنوان سے کتاب شائع کی۔ یہ کتاب اُن مقدس اصل متون کے خلاف جاری جنگ کو دستاویز کرتی ہے جو بالآخر کنگ جیمز بائبل کے ترجمہ میں استعمال ہوئے، نیز اُن مختلف شیطانی جعلی متون کو بھی، جنہیں کیتھولکوں، مرتد پروٹسٹنٹیت، اور لاؤدیقیہ کے ایڈونٹسٹوں کی جانب سے فروغ دیا جاتا رہا ہے اور آج بھی دیا جا رہا ہے۔ یہ جنگ والڈنسیوں کی تاریخ سے بہت پہلے شروع ہو گئی تھی، لیکن وہ اُن لوگوں کی علامت اور راہ-نشان ہیں جنہوں نے اُن درست مخطوطات کی اہمیت کی گواہی دینے کے لیے اپنی جانیں دے دیں، جن کا بالآخر 1611ء کی کنگ جیمز بائبل میں ترجمہ کیا گیا۔</w:t>
      </w:r>
    </w:p>
    <w:p>
      <w:pPr>
        <w:pStyle w:val="ArticleBody"/>
        <w:jc w:val="right"/>
        <w:bidi w:val="1"/>
      </w:pPr>
      <w:r>
        <w:rPr>
          <w:rFonts w:ascii="Segoe UI" w:hAnsi="Segoe UI" w:eastAsia="Segoe UI" w:cs="Segoe UI"/>
          <w:rtl w:val="1"/>
        </w:rPr>
        <w:t>تولید کتاب‌مقدس نسخهٔ کینگ جیمز در سال 1611 از فرایندی بسیار مشخص در ترجمه عبور کرد. فرایند ترجمه و انتشار کتاب‌مقدس در هفت مرحلهٔ تولید به انجام رسید. همچنین انجام آن هفت سال به طول انجامید، و هفت سالِ کتاب‌مقدسی دو هزار و پانصد و بیست روز است. و این البته همان تعداد روزهای نبوی است که در آن عیسی، در تحقق دانیال نه، عهد را با بسیاری استوار ساخت. در میانهٔ آن هفتهٔ مقدس، مسیح مصلوب شد، و البته مسیحِ مصلوب مرکز کتاب‌مقدس است. آن هفت مرحله برای پدید آوردن کلامِ پاکِ خدا به شرح زیر بود.</w:t>
      </w:r>
    </w:p>
    <w:p>
      <w:pPr>
        <w:pStyle w:val="ArticleListItem"/>
        <w:ind w:left="0" w:right="576" w:firstLine="259"/>
        <w:jc w:val="right"/>
        <w:bidi w:val="1"/>
      </w:pPr>
      <w:r>
        <w:rPr>
          <w:rFonts w:ascii="Segoe UI" w:hAnsi="Segoe UI" w:eastAsia="Segoe UI" w:cs="Segoe UI"/>
          <w:rtl w:val="1"/>
        </w:rPr>
        <w:t>• نخست: ترجمهٔ اولیه به‌وسیلهٔ افراد: حدود ۵۰ مترجم به شش کمیته تقسیم شدند که هر یک مسئول بخش‌های متفاوتی از کتاب مقدس بودند. این افراد بر ترجمه از زبان‌های اصلی (عبری، آرامی و یونانی) به انگلیسی کار می‌کردند.</w:t>
      </w:r>
    </w:p>
    <w:p>
      <w:pPr>
        <w:pStyle w:val="ArticleListItem"/>
        <w:ind w:left="0" w:right="576" w:firstLine="259"/>
        <w:jc w:val="right"/>
        <w:bidi w:val="1"/>
      </w:pPr>
      <w:r>
        <w:rPr>
          <w:rFonts w:ascii="Segoe UI" w:hAnsi="Segoe UI" w:eastAsia="Segoe UI" w:cs="Segoe UI"/>
          <w:rtl w:val="1"/>
        </w:rPr>
        <w:t>• دوم: بازبینی کمیته: پس از آن‌که هر کمیته ترجمهٔ بخشِ خود را به انجام رساند، آن اثر به‌وسیلهٔ خودِ اعضای کمیته بازبینی می‌شد. این امر امکانِ اظهارنظر جمعی و اصلاح خطاها را فراهم می‌ساخت.</w:t>
      </w:r>
    </w:p>
    <w:p>
      <w:pPr>
        <w:pStyle w:val="ArticleListItem"/>
        <w:ind w:left="0" w:right="576" w:firstLine="259"/>
        <w:jc w:val="right"/>
        <w:bidi w:val="1"/>
      </w:pPr>
      <w:r>
        <w:rPr>
          <w:rFonts w:ascii="Segoe UI" w:hAnsi="Segoe UI" w:eastAsia="Segoe UI" w:cs="Segoe UI"/>
          <w:rtl w:val="1"/>
        </w:rPr>
        <w:t>• سوم: د عمومي کمېټې بیاکتنه: وروسته د هرې انفرادي کمېټې ژباړې د پوهانو یوې لويې ډلې ته وسپارل شوې، چې د «عمومي کمېټې» په نوم یادېده. دغه کمېټه د شپږو ژباړنیزو کمېټو له استازو څخه جوړه وه. هغوی ټول اثر وڅېړه او د بېلابېلو کمېټو ژباړې یې سره پرتله او همغږې کړې.</w:t>
      </w:r>
    </w:p>
    <w:p>
      <w:pPr>
        <w:pStyle w:val="ArticleListItem"/>
        <w:ind w:left="0" w:right="576" w:firstLine="259"/>
        <w:jc w:val="right"/>
        <w:bidi w:val="1"/>
      </w:pPr>
      <w:r>
        <w:rPr>
          <w:rFonts w:ascii="Segoe UI" w:hAnsi="Segoe UI" w:eastAsia="Segoe UI" w:cs="Segoe UI"/>
          <w:rtl w:val="1"/>
        </w:rPr>
        <w:t>• چهارم: بازبینی و اصلاحِ تکمیلی: نسخهٔ بازنگری‌شدهٔ کمیتهٔ عمومی برای بررسی و پالایش بیشتر به کمیته‌های منفرد بازگردانده شد. این فرایندِ تکرارشونده کمک کرد تا اطمینان حاصل شود که ترجمه هماهنگ و دقیق است.</w:t>
      </w:r>
    </w:p>
    <w:p>
      <w:pPr>
        <w:pStyle w:val="ArticleListItem"/>
        <w:ind w:left="0" w:right="576" w:firstLine="259"/>
        <w:jc w:val="right"/>
        <w:bidi w:val="1"/>
      </w:pPr>
      <w:r>
        <w:rPr>
          <w:rFonts w:ascii="Segoe UI" w:hAnsi="Segoe UI" w:eastAsia="Segoe UI" w:cs="Segoe UI"/>
          <w:rtl w:val="1"/>
        </w:rPr>
        <w:t>• پنجم: بازبینی و تأیید نهایی: هنگامی که کمیته‌های جداگانه اصلاحات خود را تکمیل کردند، پیش‌نویس نهایی برای بازبینی و تأیید نهایی به کمیتهٔ عمومی ارائه شد.</w:t>
      </w:r>
    </w:p>
    <w:p>
      <w:pPr>
        <w:pStyle w:val="ArticleListItem"/>
        <w:ind w:left="0" w:right="576" w:firstLine="259"/>
        <w:jc w:val="right"/>
        <w:bidi w:val="1"/>
      </w:pPr>
      <w:r>
        <w:rPr>
          <w:rFonts w:ascii="Segoe UI" w:hAnsi="Segoe UI" w:eastAsia="Segoe UI" w:cs="Segoe UI"/>
          <w:rtl w:val="1"/>
        </w:rPr>
        <w:t>• ششم: تصویب و انتشار سلطنتی: سپس ترجمهٔ تأییدشده برای تصویب به جیمز اول، پادشاه، ارائه شد.</w:t>
      </w:r>
    </w:p>
    <w:p>
      <w:pPr>
        <w:pStyle w:val="ArticleListItem"/>
        <w:ind w:left="0" w:right="576" w:firstLine="259"/>
        <w:jc w:val="right"/>
        <w:bidi w:val="1"/>
      </w:pPr>
      <w:r>
        <w:rPr>
          <w:rFonts w:ascii="Segoe UI" w:hAnsi="Segoe UI" w:eastAsia="Segoe UI" w:cs="Segoe UI"/>
          <w:rtl w:val="1"/>
        </w:rPr>
        <w:t>• هفتم: هنگامی که او تأیید شاهانهٔ خود را اعطا کرد، این ترجمه در سال ۱۶۱۱ با عنوان «نسخهٔ کینگ جیمز (نسخهٔ مجاز)» از کتاب مقدس منتشر شد.</w:t>
      </w:r>
    </w:p>
    <w:p>
      <w:pPr>
        <w:pStyle w:val="ArticleScripture"/>
        <w:jc w:val="right"/>
        <w:bidi w:val="1"/>
      </w:pPr>
      <w:r>
        <w:rPr>
          <w:rFonts w:ascii="Segoe UI" w:hAnsi="Segoe UI" w:eastAsia="Segoe UI" w:cs="Segoe UI"/>
          <w:rtl w:val="1"/>
        </w:rPr>
        <w:t>کلام خداوند کلامی پاک است؛ همچون نقره‌ای که در بوتهٔ زمینی گداخته شده و هفت بار تصفیه گردیده باشد. تو، ای خداوند، آن را نگاه خواهی داشت؛ تو آن را از این نسل تا ابد محفوظ خواهی داشت. مزامیر ۱۲:‏۶، ۷</w:t>
      </w:r>
    </w:p>
    <w:p>
      <w:pPr>
        <w:pStyle w:val="ArticleBody"/>
        <w:jc w:val="right"/>
        <w:bidi w:val="1"/>
      </w:pPr>
      <w:r>
        <w:rPr>
          <w:rFonts w:ascii="Segoe UI" w:hAnsi="Segoe UI" w:eastAsia="Segoe UI" w:cs="Segoe UI"/>
          <w:rtl w:val="1"/>
        </w:rPr>
        <w:t>در جنگ شیطان بر ضدّ کلام خدا، و بر ضدّ نشانه‌های راهی که به‌وسیلهٔ پیام‌آوران گوناگونِ آن تاریخِ در حال گشایش و نیز به‌وسیلهٔ روش‌شناسیِ درستِ لازم برای تقسیم صحیح کلام او نمایان شده‌اند، کتاب مقدّسِ «نسخهٔ کینگ جیمزِ ۱۶۱۱» نشانهٔ راهی است که به‌طور خاص در مزمور دوازدهم شناسایی شده است. هیچ‌یک از ترجمه‌های جعلیِ گوناگونِ کتاب مقدّس که از طریق نسخه‌های خطّیِ فاسدِ کاتولیکی پدید آمده‌اند، معیارهای مزمور دوازدهم را برآورده نمی‌سازند. فرایندِ تصفیه‌ای که هفت مرحله را در بر گرفت و دورهٔ دو هزار و پانصد و بیست روزه، نشان می‌دهد که کتاب مقدّسِ کینگ جیمز «کلماتِ خالص» خداست. خدا وعده می‌دهد که کتاب مقدّسِ کینگ جیمز را به‌عنوان کلام خالصِ خود تا ابد محفوظ بدارد، و از این‌رو همچنین وعده می‌دهد که روش‌شناسیِ «تاریخ‌گرایی» را که اصلاح‌گران پروتستان، از جمله ویلیام میلر، به کار بردند، پابرجا نگاه دارد.</w:t>
      </w:r>
    </w:p>
    <w:p>
      <w:pPr>
        <w:pStyle w:val="ArticleBody"/>
        <w:jc w:val="right"/>
        <w:bidi w:val="1"/>
      </w:pPr>
      <w:r>
        <w:rPr>
          <w:rFonts w:ascii="Segoe UI" w:hAnsi="Segoe UI" w:eastAsia="Segoe UI" w:cs="Segoe UI"/>
          <w:rtl w:val="1"/>
        </w:rPr>
        <w:t>در قرن چهاردهم، جان ویکلیف، که در کتابِ «نبرد عظیم» از او به‌عنوان «ستارهٔ صبحِ اصلاحات» یاد شده است، به‌وسیلهٔ خداوند به‌کار گرفته شد تا کتاب‌مقدس را به زبانی ترجمه کند که حتی انسان عادی نیز آن را بفهمد. او آن پیام‌آوری است که نشانهٔ آغازِ اصلاحات پروتستانی را مشخص می‌سازد.</w:t>
      </w:r>
    </w:p>
    <w:p>
      <w:pPr>
        <w:pStyle w:val="ArticleScripture"/>
        <w:jc w:val="right"/>
        <w:bidi w:val="1"/>
      </w:pPr>
      <w:r>
        <w:rPr>
          <w:rFonts w:ascii="Segoe UI" w:hAnsi="Segoe UI" w:eastAsia="Segoe UI" w:cs="Segoe UI"/>
          <w:rtl w:val="1"/>
        </w:rPr>
        <w:t>«جنبش عظیمی که ویکلیف آغاز کرد، و قرار بود وجدان و عقل را آزاد سازد و ملت‌هایی را که مدت‌ها به ارابهٔ ظفرمند روم بسته شده بودند رهایی بخشد، سرچشمهٔ خود را در کتاب‌مقدس داشت. اینجا منبع آن جریان برکت بود که همچون آب حیات، از قرن چهاردهم به این سو در طول اعصار جاری شده است. ویکلیف کتب مقدس را با ایمانی مطلق به‌عنوان مکاشفهٔ الهام‌شدهٔ ارادهٔ خدا، و قانونی کافی برای ایمان و عمل، پذیرفت. او چنان تعلیم یافته بود که کلیسای روم را مرجع الهی و معصوم بداند و تعالیم و رسوم تثبیت‌شدهٔ هزار ساله را با حرمت و تسلیم بی‌چون‌وچرا بپذیرد؛ اما از همهٔ اینها روی برتافت تا به کلام مقدس خدا گوش بسپارد. این همان مرجعی بود که او مردم را بر آن می‌داشت که به رسمیت بشناسند. او اعلام کرد که به‌جای آنکه کلیسا از طریق پاپ سخن بگوید، تنها مرجع حقیقی، صدای خداست که از طریق کلام او سخن می‌گوید. و او تعلیم داد نه تنها این‌که کتاب‌مقدس مکاشفه‌ای کامل از ارادهٔ خداست، بلکه این‌که روح‌القدس تنها مفسر آن است، و این‌که هر انسان باید با مطالعهٔ تعالیم آن، وظیفهٔ خویش را برای خود بیاموزد. بدین‌سان او ذهن‌های مردم را از پاپ و کلیسای روم به سوی کلام خدا معطوف ساخت.»</w:t>
      </w:r>
    </w:p>
    <w:p>
      <w:pPr>
        <w:pStyle w:val="ArticleScripture"/>
        <w:jc w:val="right"/>
        <w:bidi w:val="1"/>
      </w:pPr>
      <w:r>
        <w:rPr>
          <w:rFonts w:ascii="Segoe UI" w:hAnsi="Segoe UI" w:eastAsia="Segoe UI" w:cs="Segoe UI"/>
          <w:rtl w:val="1"/>
        </w:rPr>
        <w:t>«ویکلیف یکی از بزرگ‌ترینِ مصلحان بود. از لحاظ وسعتِ اندیشه، روشنیِ فکر، استواری در حفظِ حقیقت، و دلاوری در دفاع از آن، کمتر کسی از آنان که پس از او آمدند با وی برابری می‌کرد. پاکیِ زندگی، پشتکارِ خستگی‌ناپذیر در مطالعه و کار، درستکاریِ فسادناپذیر، و محبت و وفاداریِ مسیح‌گونه در خدمتش، نخستینِ مصلحان را ممتاز می‌ساخت. و این، با وجودِ تاریکیِ فکری و فسادِ اخلاقیِ عصری که او از آن سر برآورد.»</w:t>
      </w:r>
    </w:p>
    <w:p>
      <w:pPr>
        <w:pStyle w:val="ArticleScripture"/>
        <w:jc w:val="right"/>
        <w:bidi w:val="1"/>
      </w:pPr>
      <w:r>
        <w:rPr>
          <w:rFonts w:ascii="Segoe UI" w:hAnsi="Segoe UI" w:eastAsia="Segoe UI" w:cs="Segoe UI"/>
          <w:rtl w:val="1"/>
        </w:rPr>
        <w:t>شخصیتِ وِکلیف گواہی ہے کہ مقدس نوشتوں میں تعلیم دینے اور تبدیل کر دینے کی قدرت موجود ہے۔ بائبل ہی نے اسے وہ بنایا جو وہ تھا۔ الٰہی مکاشفہ کی عظیم سچائیوں کو سمجھنے کی کوشش تمام قوّتوں کو تازگی اور توانائی بخشتی ہے۔ یہ ذہن کو وسعت دیتی ہے، ادراک کو تیز کرتی ہے، اور فیصلہ کو پختہ کرتی ہے۔ بائبل کا مطالعہ ہر خیال، ہر احساس، اور ہر آرزو کو ایسی شرافت بخشتا ہے جیسی کوئی دوسری تعلیم نہیں دے سکتی۔ یہ مقصد کو ثبات، صبر، دلیری، اور استقلال عطا کرتا ہے؛ یہ کردار کو نکھارتا اور روح کو مقدس کرتا ہے۔ نوشتوں کا سنجیدہ اور مؤدبانہ مطالعہ، جو طالبِ علم کے ذہن کو براہِ راست لامحدود ذہن سے ہم کلام کرتا ہے، دنیا کو ایسے مرد عطا کرتا جو زیادہ قوی اور زیادہ فعال عقل رکھنے والے ہوں، اور ساتھ ہی اُن کے اصول بھی زیادہ عالی ہوں، بہ نسبت اُن لوگوں کے جو انسانی فلسفے کی فراہم کردہ نہایت اعلیٰ تربیت کے نتیجے میں کبھی سامنے آئے ہوں۔ زبور نویس کہتا ہے، “تیرے کلام کا انکشاف نور بخشتا ہے؛ یہ سادہ دلوں کو فہم عطا کرتا ہے۔” زبور 119:130۔ The Great Controversy, 93, 94.</w:t>
      </w:r>
    </w:p>
    <w:p>
      <w:pPr>
        <w:pStyle w:val="ArticleBody"/>
        <w:jc w:val="right"/>
        <w:bidi w:val="1"/>
      </w:pPr>
      <w:r>
        <w:rPr>
          <w:rFonts w:ascii="Segoe UI" w:hAnsi="Segoe UI" w:eastAsia="Segoe UI" w:cs="Segoe UI"/>
          <w:rtl w:val="1"/>
        </w:rPr>
        <w:t>پس از شهادت مربوط به جان ویکلیف در *نبرد عظیم*، خواهر وایت فهرستی از اصلاح‌گران امین (نقاط راهنما) ارائه می‌کند که سرانجام به مصلح، جان ناکس، می‌رسد. او پرسشی مهم را که ماری، ملکهٔ اسکاتلند، از جان ناکس مطرح کرد، مشخص می‌سازد.</w:t>
      </w:r>
    </w:p>
    <w:p>
      <w:pPr>
        <w:pStyle w:val="ArticleScripture"/>
        <w:jc w:val="right"/>
        <w:bidi w:val="1"/>
      </w:pPr>
      <w:r>
        <w:rPr>
          <w:rFonts w:ascii="Segoe UI" w:hAnsi="Segoe UI" w:eastAsia="Segoe UI" w:cs="Segoe UI"/>
          <w:rtl w:val="1"/>
        </w:rPr>
        <w:t>«جان ناکس از سنّت‌ها و اسرارگرایی‌های کلیسا روی برتافته بود تا از حقایق کلام خدا تغذیه کند، و تعلیمات ویشارت عزم او را برای ترکِ مشارکتِ روم و پیوستن به مصلحانِ تحت آزار، استوار کرده بود....»</w:t>
      </w:r>
    </w:p>
    <w:p>
      <w:pPr>
        <w:pStyle w:val="ArticleScripture"/>
        <w:jc w:val="right"/>
        <w:bidi w:val="1"/>
      </w:pPr>
      <w:r>
        <w:rPr>
          <w:rFonts w:ascii="Segoe UI" w:hAnsi="Segoe UI" w:eastAsia="Segoe UI" w:cs="Segoe UI"/>
          <w:rtl w:val="1"/>
        </w:rPr>
        <w:t>«آنگاه که در برابر ملکهٔ اسکاتلند قرار گرفت، در حضور او که غیرتِ بسیاری از رهبران پروتستان‌ها فروکش کرده بود، جان ناکس شهادتی استوار و تزلزل‌ناپذیر برای حقیقت ادا کرد. او را نه با نوازش‌ها می‌شد به دست آورد، و نه در برابر تهدیدها به هراس می‌افتاد. ملکه او را به بدعت متهم ساخت. او، به گفتهٔ وی، به مردم آموخته بود که دینی را بپذیرند که از سوی دولت ممنوع شده بود، و بدین‌سان از فرمان خدا که رعایا را به اطاعت از فرمانروایانشان امر می‌کند، تجاوز کرده بود. ناکس با قاطعیت پاسخ داد:— «چنان‌که دین راستین نه منشأ خود را از شاهزادگان و فرمانروایان می‌گیرد و نه اقتدار خود را، بلکه تنها از خدای ازلی، همچنین رعایا نیز ملزم نیستند دین خود را بر وفق پسند فرمانروایانشان صورت دهند. زیرا بسیار اتفاق می‌افتد که فرمانروایان، بیش از همهٔ دیگران، از دین حقیقی خدا ناآگاه‌ترند. اگر تمامی ذریهٔ ابراهیم بر دین فرعون می‌بودند، که مدت‌ها رعایای او بودند، تمنا دارم، بانو، در آن صورت چه دینی در جهان وجود می‌داشت؟ و اگر همه در ایام رسولان بر دین امپراتوران روم می‌بودند، تمنا دارم، بانو، اکنون چه دینی بر روی زمین وجود می‌داشت؟ … پس، بانو، می‌توانید دریابید که رعایا به دین فرمانروایان خود مقید نیستند، هرچند مأمورند که به آنان حرمت نهند.»</w:t>
      </w:r>
    </w:p>
    <w:p>
      <w:pPr>
        <w:pStyle w:val="ArticleScripture"/>
        <w:jc w:val="right"/>
        <w:bidi w:val="1"/>
      </w:pPr>
      <w:r>
        <w:rPr>
          <w:rFonts w:ascii="Segoe UI" w:hAnsi="Segoe UI" w:eastAsia="Segoe UI" w:cs="Segoe UI"/>
          <w:rtl w:val="1"/>
        </w:rPr>
        <w:t>مریم نے کہا، ’’تم کلامِ مقدّس کی ایک طرح سے تفسیر کرتے ہو، اور وہ [رومی معلّمین] دوسری طرح سے اس کی تفسیر کرتے ہیں؛ میں کس کا اعتبار کروں، اور فیصلہ کرنے والا کون ہو؟‘‘</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सुधारक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 xml:space="preserve"> </w:t>
      </w:r>
      <w:r>
        <w:rPr>
          <w:rFonts w:ascii="Nirmala UI" w:hAnsi="Nirmala UI" w:eastAsia="Nirmala UI" w:cs="Nirmala UI"/>
          <w:rtl w:val="1"/>
        </w:rPr>
        <w:t>तुझे</w:t>
      </w:r>
      <w:r>
        <w:rPr>
          <w:rFonts w:ascii="Segoe UI" w:hAnsi="Segoe UI" w:eastAsia="Segoe UI" w:cs="Segoe UI"/>
          <w:rtl w:val="1"/>
        </w:rPr>
        <w:t xml:space="preserve"> </w:t>
      </w:r>
      <w:r>
        <w:rPr>
          <w:rFonts w:ascii="Nirmala UI" w:hAnsi="Nirmala UI" w:eastAsia="Nirmala UI" w:cs="Nirmala UI"/>
          <w:rtl w:val="1"/>
        </w:rPr>
        <w:t>सिखाता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उससे</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पक्ष</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पक्ष</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अस्पष्टता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पवित्र</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कभी</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स्थानों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छोड़कर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हठपूर्वक</w:t>
      </w:r>
      <w:r>
        <w:rPr>
          <w:rFonts w:ascii="Segoe UI" w:hAnsi="Segoe UI" w:eastAsia="Segoe UI" w:cs="Segoe UI"/>
          <w:rtl w:val="1"/>
        </w:rPr>
        <w:t xml:space="preserve"> </w:t>
      </w:r>
      <w:r>
        <w:rPr>
          <w:rFonts w:ascii="Nirmala UI" w:hAnsi="Nirmala UI" w:eastAsia="Nirmala UI" w:cs="Nirmala UI"/>
          <w:rtl w:val="1"/>
        </w:rPr>
        <w:t>अज्ञान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संदेह</w:t>
      </w:r>
      <w:r>
        <w:rPr>
          <w:rFonts w:ascii="Segoe UI" w:hAnsi="Segoe UI" w:eastAsia="Segoe UI" w:cs="Segoe UI"/>
          <w:rtl w:val="1"/>
        </w:rPr>
        <w:t xml:space="preserve"> </w:t>
      </w:r>
      <w:r>
        <w:rPr>
          <w:rFonts w:ascii="Nirmala UI" w:hAnsi="Nirmala UI" w:eastAsia="Nirmala UI" w:cs="Nirmala UI"/>
          <w:rtl w:val="1"/>
        </w:rPr>
        <w:t>शेष</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निडर</w:t>
      </w:r>
      <w:r>
        <w:rPr>
          <w:rFonts w:ascii="Segoe UI" w:hAnsi="Segoe UI" w:eastAsia="Segoe UI" w:cs="Segoe UI"/>
          <w:rtl w:val="1"/>
        </w:rPr>
        <w:t xml:space="preserve"> </w:t>
      </w:r>
      <w:r>
        <w:rPr>
          <w:rFonts w:ascii="Nirmala UI" w:hAnsi="Nirmala UI" w:eastAsia="Nirmala UI" w:cs="Nirmala UI"/>
          <w:rtl w:val="1"/>
        </w:rPr>
        <w:t>सुधारक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संकट</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डालकर</w:t>
      </w:r>
      <w:r>
        <w:rPr>
          <w:rFonts w:ascii="Segoe UI" w:hAnsi="Segoe UI" w:eastAsia="Segoe UI" w:cs="Segoe UI"/>
          <w:rtl w:val="1"/>
        </w:rPr>
        <w:t xml:space="preserve">, </w:t>
      </w:r>
      <w:r>
        <w:rPr>
          <w:rFonts w:ascii="Nirmala UI" w:hAnsi="Nirmala UI" w:eastAsia="Nirmala UI" w:cs="Nirmala UI"/>
          <w:rtl w:val="1"/>
        </w:rPr>
        <w:t>राजसत्ता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अडिग</w:t>
      </w:r>
      <w:r>
        <w:rPr>
          <w:rFonts w:ascii="Segoe UI" w:hAnsi="Segoe UI" w:eastAsia="Segoe UI" w:cs="Segoe UI"/>
          <w:rtl w:val="1"/>
        </w:rPr>
        <w:t xml:space="preserve"> </w:t>
      </w:r>
      <w:r>
        <w:rPr>
          <w:rFonts w:ascii="Nirmala UI" w:hAnsi="Nirmala UI" w:eastAsia="Nirmala UI" w:cs="Nirmala UI"/>
          <w:rtl w:val="1"/>
        </w:rPr>
        <w:t>साहस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उद्देश्य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लड़ाइयाँ</w:t>
      </w:r>
      <w:r>
        <w:rPr>
          <w:rFonts w:ascii="Segoe UI" w:hAnsi="Segoe UI" w:eastAsia="Segoe UI" w:cs="Segoe UI"/>
          <w:rtl w:val="1"/>
        </w:rPr>
        <w:t xml:space="preserve"> </w:t>
      </w:r>
      <w:r>
        <w:rPr>
          <w:rFonts w:ascii="Nirmala UI" w:hAnsi="Nirmala UI" w:eastAsia="Nirmala UI" w:cs="Nirmala UI"/>
          <w:rtl w:val="1"/>
        </w:rPr>
        <w:t>लड़ता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स्कॉटलैंड</w:t>
      </w:r>
      <w:r>
        <w:rPr>
          <w:rFonts w:ascii="Segoe UI" w:hAnsi="Segoe UI" w:eastAsia="Segoe UI" w:cs="Segoe UI"/>
          <w:rtl w:val="1"/>
        </w:rPr>
        <w:t xml:space="preserve"> </w:t>
      </w:r>
      <w:r>
        <w:rPr>
          <w:rFonts w:ascii="Nirmala UI" w:hAnsi="Nirmala UI" w:eastAsia="Nirmala UI" w:cs="Nirmala UI"/>
          <w:rtl w:val="1"/>
        </w:rPr>
        <w:t>पोपमत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स्वतंत्र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ग्रेट</w:t>
      </w:r>
      <w:r>
        <w:rPr>
          <w:rFonts w:ascii="Segoe UI" w:hAnsi="Segoe UI" w:eastAsia="Segoe UI" w:cs="Segoe UI"/>
          <w:rtl w:val="1"/>
        </w:rPr>
        <w:t xml:space="preserve"> </w:t>
      </w:r>
      <w:r>
        <w:rPr>
          <w:rFonts w:ascii="Nirmala UI" w:hAnsi="Nirmala UI" w:eastAsia="Nirmala UI" w:cs="Nirmala UI"/>
          <w:rtl w:val="1"/>
        </w:rPr>
        <w:t>कॉन्ट्रोवर्सी</w:t>
      </w:r>
      <w:r>
        <w:rPr>
          <w:rFonts w:ascii="Segoe UI" w:hAnsi="Segoe UI" w:eastAsia="Segoe UI" w:cs="Segoe UI"/>
          <w:rtl w:val="1"/>
        </w:rPr>
        <w:t>, 250, 251.</w:t>
      </w:r>
    </w:p>
    <w:p>
      <w:pPr>
        <w:pStyle w:val="ArticleBody"/>
        <w:jc w:val="right"/>
        <w:bidi w:val="1"/>
      </w:pPr>
      <w:r>
        <w:rPr>
          <w:rFonts w:ascii="Segoe UI" w:hAnsi="Segoe UI" w:eastAsia="Segoe UI" w:cs="Segoe UI"/>
          <w:rtl w:val="1"/>
        </w:rPr>
        <w:t>اصلاح‌طلب و ملکه برجسته‌سازِ سومین رشته در تاریخ اصلاحات است؛ رشته‌ای که تلاش شیطان را برای جعلِ بدلی از کتاب‌مقدس، اصلاح‌گران، و روش‌شناسیِ مطالعهٔ کتاب‌مقدس شناسایی می‌کند. پاسخ یوحنا به ملکه این بود که روش‌شناسیِ درست «تاریخ‌گرایی» است؛ رویکردی که بر این اصل استوار است که یک خط از تاریخِ نبوی، به‌واسطهٔ روح‌القدس، با خطی دیگر از تاریخِ نبوی تبیین می‌شود.</w:t>
      </w:r>
    </w:p>
    <w:p>
      <w:pPr>
        <w:pStyle w:val="ArticleBody"/>
        <w:jc w:val="right"/>
        <w:bidi w:val="1"/>
      </w:pPr>
      <w:r>
        <w:rPr>
          <w:rFonts w:ascii="Segoe UI" w:hAnsi="Segoe UI" w:eastAsia="Segoe UI" w:cs="Segoe UI"/>
          <w:rtl w:val="1"/>
        </w:rPr>
        <w:t>نور در تاریکی گشوده شده بود. ویکلیف و اصلاح‌گران نخستین، تا سراسر تاریخ میلری، همگی از روشی در مطالعهٔ کتاب‌مقدس بهره می‌بردند که «تاریخ‌گرایی» نامیده می‌شود. تاریخِ این روشِ کتاب‌مقدسیِ مطالعهٔ کتاب‌مقدس غالباً نادیده گرفته می‌شود، اما اگر کسی حقیقتاً بخواهد اهمیتِ قواعدِ تفسیرِ نبوی را که میلر و سپس Future for America پذیرفتند، درک کند، شناختن آن امری اساسی است.</w:t>
      </w:r>
    </w:p>
    <w:p>
      <w:pPr>
        <w:pStyle w:val="ArticleBody"/>
        <w:jc w:val="right"/>
        <w:bidi w:val="1"/>
      </w:pPr>
      <w:r>
        <w:rPr>
          <w:rFonts w:ascii="Segoe UI" w:hAnsi="Segoe UI" w:eastAsia="Segoe UI" w:cs="Segoe UI"/>
          <w:rtl w:val="1"/>
        </w:rPr>
        <w:t>تنها دو کلیسا وجود دارند که خواهر وایت آن‌ها را قوم نام‌بردهٔ خدا معرفی می‌کند: اسرائیلِ باستان و کلیسای ادونتیست روز هفتم.</w:t>
      </w:r>
    </w:p>
    <w:p>
      <w:pPr>
        <w:pStyle w:val="ArticleScripture"/>
        <w:jc w:val="right"/>
        <w:bidi w:val="1"/>
      </w:pPr>
      <w:r>
        <w:rPr>
          <w:rFonts w:ascii="Segoe UI" w:hAnsi="Segoe UI" w:eastAsia="Segoe UI" w:cs="Segoe UI"/>
          <w:rtl w:val="1"/>
        </w:rPr>
        <w:t>«دلایلی که بدان سبب ما قومِ خدا نامیده می‌شویم، باید بارها و بارها تکرار شوند. تثنیه ۴:۱–۱۳» Manuscript Releases، جلد ۸، ۴۲۶.</w:t>
      </w:r>
    </w:p>
    <w:p>
      <w:pPr>
        <w:pStyle w:val="ArticleBody"/>
        <w:jc w:val="right"/>
        <w:bidi w:val="1"/>
      </w:pPr>
      <w:r>
        <w:rPr>
          <w:rFonts w:ascii="Segoe UI" w:hAnsi="Segoe UI" w:eastAsia="Segoe UI" w:cs="Segoe UI"/>
          <w:rtl w:val="1"/>
        </w:rPr>
        <w:t>کلیسای رسولان، و نیز کلیسا در بیابان در دوران تاریکی پاپی، هرگز «قومِ نامیده‌شدهٔ خدا» خوانده نشدند؛ زیرا این اصطلاح (به‌معنای نامیده شدن) نمایانگر کلیسایی است که مسئولیت یافته است امانت‌دار شریعت خدا باشد، و با ادونتیسم نیز می‌بایست امانت‌دار حقایق نبویِ خدا نیز باشد.</w:t>
      </w:r>
    </w:p>
    <w:p>
      <w:pPr>
        <w:pStyle w:val="ArticleScripture"/>
        <w:jc w:val="right"/>
        <w:bidi w:val="1"/>
      </w:pPr>
      <w:r>
        <w:rPr>
          <w:rFonts w:ascii="Segoe UI" w:hAnsi="Segoe UI" w:eastAsia="Segoe UI" w:cs="Segoe UI"/>
          <w:rtl w:val="1"/>
        </w:rPr>
        <w:t>«خدا کلیسای خود را در این زمان فراخوانده است، همان‌گونه که اسرائیلِ باستان را فراخواند، تا همچون نوری در زمین بایستد. او به‌وسیلهٔ ساطورِ نیرومندِ حقیقت، به‌واسطهٔ پیام‌های فرشتهٔ اول، دوم، و سوم، آنان را از کلیساها و از جهان جدا ساخته است تا ایشان را به قربی مقدس با خویشتن درآورد. او ایشان را امانت‌دارانِ شریعتِ خود گردانیده و حقایق عظیمِ نبوت را برای این زمان به آنان سپرده است. همانند کلام‌های مقدسی که به اسرائیلِ باستان سپرده شد، اینها نیز امانتی مقدس‌اند که باید به جهان رسانده شوند. سه فرشتهٔ مکاشفه ۱۴ نمایانگر مردمی هستند که نورِ پیام‌های خدا را می‌پذیرند و همچون عاملان او بیرون می‌روند تا این هشدار را در سراسر طول و عرضِ زمین طنین‌انداز سازند.» شهادت‌ها، جلد ۵، ۴۵۵.</w:t>
      </w:r>
    </w:p>
    <w:p>
      <w:pPr>
        <w:pStyle w:val="ArticleBody"/>
        <w:jc w:val="right"/>
        <w:bidi w:val="1"/>
      </w:pPr>
      <w:r>
        <w:rPr>
          <w:rFonts w:ascii="Segoe UI" w:hAnsi="Segoe UI" w:eastAsia="Segoe UI" w:cs="Segoe UI"/>
          <w:rtl w:val="1"/>
        </w:rPr>
        <w:t>ویلیام میلر پیام‌آورِ برگزیده‌ای بود برای گشودن حقایق نبویِ خدا، و هنگامی که آن حقایق در سال 1844 قومی را به درِ گشودهٔ قدس‌الاقداس رهنمون ساخت، خدا سپس شریعتِ خدا را آشکار کرد. ویکلیف نشانه‌ای در گشودن کتاب‌مقدس و پدید آوردن آغازهای اصلاحات پروتستان است، اما او همچنین نشانه‌ای از کار خدا برای استقرار «حقایق عظیم نبوت» نیز هست. جان ویکلیف آن ستارهٔ صبح بود که در تاریخ فرمانروایی هزار و دویست و شصت‌سالهٔ پاپیّت شناخته می‌شود. کار او در قرن چهاردهم آغاز شد، سپس در قرن هفدهم نشانهٔ دیگری از آن خط نبوی، پدید آمدنِ کتاب‌مقدسِ شاه جیمز در سال 1611 بود. بر آن خط، در نهایت به نشانهٔ قواعد میلر برای تفسیر نبوی می‌رسیم. میلر در آن خطِ حقیقت یک نشانه است، و قواعد او نیز چنین‌اند. قواعد او به نشانه‌ای در پایان ادونتیسم شهادت می‌دهند که با انتشار Prophetic Keys نمایان شده است.</w:t>
      </w:r>
    </w:p>
    <w:p>
      <w:pPr>
        <w:pStyle w:val="ArticleBody"/>
        <w:jc w:val="right"/>
        <w:bidi w:val="1"/>
      </w:pPr>
      <w:r>
        <w:rPr>
          <w:rFonts w:ascii="Segoe UI" w:hAnsi="Segoe UI" w:eastAsia="Segoe UI" w:cs="Segoe UI"/>
          <w:rtl w:val="1"/>
        </w:rPr>
        <w:t>اگر ما درک نکنیم که قواعد میلر نشانه‌ای در خطی از تاریخ نبوی بود که نمایانگر کارِ حفظِ متون اصلی و صحیحِ کتاب‌مقدس، و نیز کارِ گشایشِ فهمِ حقیقیِ کتاب‌مقدس بود؛ کاری که مستلزم آن بود که مصلحان هدایت شوند تا روش‌شناسیِ مقدسِ مطالعه را که «تاریخ‌گرایی» نامیده می‌شود، دریابند و به‌کار گیرند، آنگاه از اطلاعاتِ لازم برای شناختِ حقایقِ نبویِ مرتبط با کارِ ارائه و حفظِ نورِ فرشتهٔ سوم در پایانِ ادونتیسم بی‌بهره خواهیم بود. از این‌رو، مهم است که مروری کوتاه بر آن خطِ تاریخی داشته باشیم.</w:t>
      </w:r>
    </w:p>
    <w:p>
      <w:pPr>
        <w:pStyle w:val="ArticleBody"/>
        <w:jc w:val="right"/>
        <w:bidi w:val="1"/>
      </w:pPr>
      <w:r>
        <w:rPr>
          <w:rFonts w:ascii="Segoe UI" w:hAnsi="Segoe UI" w:eastAsia="Segoe UI" w:cs="Segoe UI"/>
          <w:rtl w:val="1"/>
        </w:rPr>
        <w:t>لفظ «پروتستان» کی واحد حقیقی تعریف یہ ہے کہ روم کے خلاف احتجاج کیا جائے۔ اگر کوئی کلیسیا روم کے خلاف احتجاج کرنا چھوڑ دے، تو وہ پھر پروتستان نہیں رہتی، بلکہ روم کی بیٹی بن جاتی ہے، جیسا کہ اُن پروتستانوں کے ساتھ ہوا جنہوں نے پہلے فرشتے کے پیغام کو ردّ کر دیا۔ جو بنیادی فہم اُن پروتستانوں کا «نعرۂ امتیاز» بنا جو کیتھولک کلیسیا سے نکلے تھے، وہ یہ تھا: «بائبل، اور صرف بائبل۔» تاہم تاریخ اس حقیقت کی گواہی دیتی ہے کہ بائبل کا صحیح طور پر تقسیم کیا جانا ضروری تھا۔</w:t>
      </w:r>
    </w:p>
    <w:p>
      <w:pPr>
        <w:pStyle w:val="ArticleScripture"/>
        <w:jc w:val="right"/>
        <w:bidi w:val="1"/>
      </w:pPr>
      <w:r>
        <w:rPr>
          <w:rFonts w:ascii="Segoe UI" w:hAnsi="Segoe UI" w:eastAsia="Segoe UI" w:cs="Segoe UI"/>
          <w:rtl w:val="1"/>
        </w:rPr>
        <w:t>خویشتن را بکوش که نزد خدا مقبول نمایی، چونان کارگری که را از شرمنده شدن باکی نیست و کلامِ حق را به‌درستی تقسیم می‌کند. اما از یاوه‌گویی‌های حرام و بیهوده اجتناب نما، زیرا که به بی‌دینیِ بیشتر خواهد انجامید. دوم تیموتائوس ۲:‏۱۵، ۱۶</w:t>
      </w:r>
    </w:p>
    <w:p>
      <w:pPr>
        <w:pStyle w:val="ArticleBody"/>
        <w:jc w:val="right"/>
        <w:bidi w:val="1"/>
      </w:pPr>
      <w:r>
        <w:rPr>
          <w:rFonts w:ascii="Segoe UI" w:hAnsi="Segoe UI" w:eastAsia="Segoe UI" w:cs="Segoe UI"/>
          <w:rtl w:val="1"/>
        </w:rPr>
        <w:t>طریقۀ مطالعۀ کتاب‌مقدس که پروتستان‌ها در تلاش‌های خود برای به‌درستی تقسیم کردن کلامِ حق به به‌کارگیری آن هدایت شدند، «تاریخ‌گرایی» است. آن روش هدفی مشخص و جدی برای حملۀ شیطان بود، و او نیز حمله کرد.</w:t>
      </w:r>
    </w:p>
    <w:p>
      <w:pPr>
        <w:pStyle w:val="ArticleScripture"/>
        <w:jc w:val="right"/>
        <w:bidi w:val="1"/>
      </w:pPr>
      <w:r>
        <w:rPr>
          <w:rFonts w:ascii="Segoe UI" w:hAnsi="Segoe UI" w:eastAsia="Segoe UI" w:cs="Segoe UI"/>
          <w:rtl w:val="1"/>
        </w:rPr>
        <w:t>«ما باید خودِ ما بدانیم که مسیحیت از چه چیز تشکیل می‌شود، حقیقت چیست، ایمانی که دریافت کرده‌ایم کدام است، و قوانین کتاب‌مقدس چیست—قوانینی که از عالی‌ترین مرجع به ما داده شده است.» The 1888 Materials, 403.</w:t>
      </w:r>
    </w:p>
    <w:p>
      <w:pPr>
        <w:pStyle w:val="ArticleBody"/>
        <w:jc w:val="right"/>
        <w:bidi w:val="1"/>
      </w:pPr>
      <w:r>
        <w:rPr>
          <w:rFonts w:ascii="Segoe UI" w:hAnsi="Segoe UI" w:eastAsia="Segoe UI" w:cs="Segoe UI"/>
          <w:rtl w:val="1"/>
        </w:rPr>
        <w:t>تضعیفِ روش‌شناسیِ کتاب‌مقدسی‌ای که اصلاح‌گران تا زمان ویلیام میلر و از جمله او به کار می‌بردند، به‌طور مشخص چنین شناسایی می‌شود که در سدهٔ پانزدهم با عالمِ یسوعی‌ای به نام فرانسیسکو ریبرا (1537–1591) آغاز شد؛ کسی که به رواج دادنِ تفسیرِ آینده‌گرایانه منسوب است. او تفسیری بر کتابِ مکاشفه نوشت که تفسیری آینده‌نگر از نبوت‌ها پیشنهاد می‌کرد و آنها را از بسترِ تاریخی‌شان دور می‌ساخت. ریبرا این روش‌شناسی را با این هدف ابداع کرد که در برابر حقیقتی مقاومت ورزد که روش‌شناسیِ تاریخ‌گرایی همواره به آن منتهی می‌شد. آن حقیقت این بود که پاپِ روم همان ضدّمسیحِ نبوتِ کتاب‌مقدس است.</w:t>
      </w:r>
    </w:p>
    <w:p>
      <w:pPr>
        <w:pStyle w:val="ArticleBody"/>
        <w:jc w:val="right"/>
        <w:bidi w:val="1"/>
      </w:pPr>
      <w:r>
        <w:rPr>
          <w:rFonts w:ascii="Segoe UI" w:hAnsi="Segoe UI" w:eastAsia="Segoe UI" w:cs="Segoe UI"/>
          <w:rtl w:val="1"/>
        </w:rPr>
        <w:t>در سده‌های هفدهم و هجدهم می‌توان مستند ساخت که پروتستانیسم می‌دانست روش‌شناسی باطلِ ریبرا شیطانی و نامعتبر است. پروتستان‌ها در آن دوره کتاب‌ها و رساله‌هایی در مخالفت با «یاوه‌گویی‌های کفرآمیز و بیهوده» این عالم یسوعی نوشتند. اما در سال ۱۹۰۹، اسب تروا، یعنی کتاب‌مقدسِ مرجعِ اسکوفیلد، منتشر شد، و ارجاعاتی که در پانوشت‌های کتاب‌مقدس درج شده بود بر پایه تعالیم ریبرا و یسوعی دیگری به نام مانوئل لاکونزا (1731–1801) قرار داشت. لاکونزا با نام مستعار خوان یوسافات بن‌عزرا می‌نوشت و کتابی با عنوان ظهور مسیحا در جلال و عظمت منتشر کرد. همچون ریبرا که پیش از او بود، آن کتاب نیز حمله‌ای مستقیم بر ضد تحقق پیشگویی‌های کتاب مکاشفه بود.</w:t>
      </w:r>
    </w:p>
    <w:p>
      <w:pPr>
        <w:pStyle w:val="ArticleBody"/>
        <w:jc w:val="right"/>
        <w:bidi w:val="1"/>
      </w:pPr>
      <w:r>
        <w:rPr>
          <w:rFonts w:ascii="Segoe UI" w:hAnsi="Segoe UI" w:eastAsia="Segoe UI" w:cs="Segoe UI"/>
          <w:rtl w:val="1"/>
        </w:rPr>
        <w:t>شیطان می‌دانست پیامی که باید آن را با آشفتگی و ابهام تیره سازد، همان پیام هشدار نهایی است که از کتاب مکاشفه می‌آید. گنجاندن یاوه‌سرایی‌های کفرآمیز و باطلِ آن دو کشیش یسوعی در ارجاعاتِ درونِ «کتاب مقدس مرجع اسکوفیلد» به شیطان امکان داد تا پروتستان‌های مرتد را به پذیرش روش‌شناسی‌های یسوعی سوق دهد و بدین‌سان ایشان را نسبت به حقیقت کور سازد. شیطان این مقصود را با معرفی چندین الگوی نبویِ کاتولیکی به انجام رساند که امکانِ شناساییِ روشنِ این‌که ضدّمسیحِ نبوتِ کتاب مقدس کیست را از میان برداشت. این فریب برای شیطان دشوار نبود، زیرا پروتستان‌ها پیش‌تر با ردّ پیام میلر در سال 1843 به کلیسای روم بازگشته بودند.</w:t>
      </w:r>
    </w:p>
    <w:p>
      <w:pPr>
        <w:pStyle w:val="ArticleBody"/>
        <w:jc w:val="right"/>
        <w:bidi w:val="1"/>
      </w:pPr>
      <w:r>
        <w:rPr>
          <w:rFonts w:ascii="Segoe UI" w:hAnsi="Segoe UI" w:eastAsia="Segoe UI" w:cs="Segoe UI"/>
          <w:rtl w:val="1"/>
        </w:rPr>
        <w:t>در طول سالیان، چندین کتاب و مقاله منتشر شده است که حملهٔ شیطان به کتاب‌مقدس را مستند می‌سازد؛ حمله‌ای که از همان چند قرن نخست پس از مصلوب شدن مسیح آغاز شد. آن حمله به نقطه‌ای رسید که نسخه‌های خطیِ جعلی وارد شد تا کتاب‌مقدس‌های جعلی پدید آید. شیطان همچنین به اصلاح‌گرانی که برای پاسداشت کلام خدا برانگیخته شده بودند حمله کرد، چه در زمان حیاتشان و چه حتی پس از آنکه آن اصلاح‌گران درگذشتند.</w:t>
      </w:r>
    </w:p>
    <w:p>
      <w:pPr>
        <w:pStyle w:val="ArticleBody"/>
        <w:jc w:val="right"/>
        <w:bidi w:val="1"/>
      </w:pPr>
      <w:r>
        <w:rPr>
          <w:rFonts w:ascii="Segoe UI" w:hAnsi="Segoe UI" w:eastAsia="Segoe UI" w:cs="Segoe UI"/>
          <w:rtl w:val="1"/>
        </w:rPr>
        <w:t>تصور کنید که مورخان و الاهی‌دانان امروزیِ ادونتیستِ روز هفتم با موضوع ویلیام میلر چگونه برخورد می‌کنند. گویی استخوان‌های او را از گور بیرون کشیده و به رود می‌سی‌سی‌پی افکنده‌اند.</w:t>
      </w:r>
    </w:p>
    <w:p>
      <w:pPr>
        <w:pStyle w:val="ArticleScripture"/>
        <w:jc w:val="right"/>
        <w:bidi w:val="1"/>
      </w:pPr>
      <w:r>
        <w:rPr>
          <w:rFonts w:ascii="Segoe UI" w:hAnsi="Segoe UI" w:eastAsia="Segoe UI" w:cs="Segoe UI"/>
          <w:rtl w:val="1"/>
        </w:rPr>
        <w:t>«ویلیام میلر پادشاهیِ شیطان را به اضطراب افکنده بود، و آن دشمنِ ازلی می‌کوشید نه تنها اثر آن پیام را خنثی سازد، بلکه خودِ پیام‌آور را نیز هلاک کند. هنگامی که پدر میلر حقایقِ کلامِ مقدس را به‌گونه‌ای عملی بر دل‌های شنوندگانِ خود منطبق می‌ساخت، خشمِ مسیحیانِ معترف بر ضد او افروخته می‌شد، چنان‌که خشمِ یهودیان نیز بر ضد مسیح و رسولانِ او برانگیخته شده بود. اعضای کلیسا طبقاتِ فرودست‌تر را تحریک می‌کردند، و در چندین مورد دشمنان نقشه کشیدند که چون او محلِ اجتماع را ترک می‌کند، جانش را بگیرند. اما فرشتگانِ مقدس در میان آن انبوه حضور داشتند، و یکی از ایشان، در هیئتِ مردی، بازوی این خادمِ خداوند را گرفت و او را از میان آن جماعتِ خشمگین به سلامت بیرون برد. کارِ او هنوز به پایان نرسیده بود، و شیطان و فرستادگانش در مقصودِ خود ناکام ماندند.» روحِ نبوت، جلد ۴، ۲۱۹.</w:t>
      </w:r>
    </w:p>
    <w:p>
      <w:pPr>
        <w:pStyle w:val="ArticleBody"/>
        <w:jc w:val="right"/>
        <w:bidi w:val="1"/>
      </w:pPr>
      <w:r>
        <w:rPr>
          <w:rFonts w:ascii="Segoe UI" w:hAnsi="Segoe UI" w:eastAsia="Segoe UI" w:cs="Segoe UI"/>
          <w:rtl w:val="1"/>
        </w:rPr>
        <w:t>بنگرید که چگونه همان دو دسته از اَدونتیسم (الهی‌دانان و تاریخ‌نگاران) اعتبار قواعد میلر را کم‌اهمیت جلوه داده و پنهان ساخته‌اند؛ قواعدی که خواهر وایت به ما آگاه می‌سازد که همهٔ کسانی که حقیقتاً پیام‌های سه فرشته را اعلام می‌کنند، از آن‌ها استفاده خواهند کرد.</w:t>
      </w:r>
    </w:p>
    <w:p>
      <w:pPr>
        <w:pStyle w:val="ArticleScripture"/>
        <w:jc w:val="right"/>
        <w:bidi w:val="1"/>
      </w:pPr>
      <w:r>
        <w:rPr>
          <w:rFonts w:ascii="Segoe UI" w:hAnsi="Segoe UI" w:eastAsia="Segoe UI" w:cs="Segoe UI"/>
          <w:rtl w:val="1"/>
        </w:rPr>
        <w:t>«کسانی که در اعلام پیام فرشتهٔ سوم مشغول‌اند، کتب مقدّس را بر همان نقشه‌ای بررسی می‌کنند که پدر میلر اختیار کرده بود. پدر میلر در کتاب کوچکِ موسوم به Views of the Prophecies and Prophetic Chronology، قواعد ساده، امّا خردمندانه و مهمّ زیر را برای مطالعه و تفسیر کتاب‌مقدّس ارائه می‌کند:—»</w:t>
      </w:r>
    </w:p>
    <w:p>
      <w:pPr>
        <w:pStyle w:val="ArticleScripture"/>
        <w:jc w:val="right"/>
        <w:bidi w:val="1"/>
      </w:pPr>
      <w:r>
        <w:rPr>
          <w:rFonts w:ascii="Segoe UI" w:hAnsi="Segoe UI" w:eastAsia="Segoe UI" w:cs="Segoe UI"/>
          <w:rtl w:val="1"/>
        </w:rPr>
        <w:t>«[قوانین یک تا پنج نقل‌شده.]»</w:t>
      </w:r>
    </w:p>
    <w:p>
      <w:pPr>
        <w:pStyle w:val="ArticleScripture"/>
        <w:jc w:val="right"/>
        <w:bidi w:val="1"/>
      </w:pPr>
      <w:r>
        <w:rPr>
          <w:rFonts w:ascii="Segoe UI" w:hAnsi="Segoe UI" w:eastAsia="Segoe UI" w:cs="Segoe UI"/>
          <w:rtl w:val="1"/>
        </w:rPr>
        <w:t>«آنچه در بالا آمد، بخشی از این قواعد است؛ و در مطالعهٔ کتاب مقدّس، همهٔ ما نیکو خواهیم کرد اگر به اصولی که بیان شده است توجه کنیم.» Review and Herald، 25 نوامبر 1884.</w:t>
      </w:r>
    </w:p>
    <w:p>
      <w:pPr>
        <w:pStyle w:val="ArticleBody"/>
        <w:jc w:val="right"/>
        <w:bidi w:val="1"/>
      </w:pPr>
      <w:r>
        <w:rPr>
          <w:rFonts w:ascii="Segoe UI" w:hAnsi="Segoe UI" w:eastAsia="Segoe UI" w:cs="Segoe UI"/>
          <w:rtl w:val="1"/>
        </w:rPr>
        <w:t>بدونِ بازبینیِ سه رشته از خطِ تاریخِ نبوی که با تکوین و استقرارِ کلامِ خدا مرتبط است، دیدنِ اهمیتِ شهادتی بزرگ برای تأییدِ ویلیام میلر به‌عنوانِ آن رسولی که در ارائهٔ پیامِ خویش به‌وسیلهٔ ایلیا نمونه‌سازی شده بود، و همچون موسی در وعدهٔ برخیزانیده‌شدنِ میلر در رستاخیزِ عادلان، و همچون الیشع در آمادگی‌اش برای ترکِ مزرعهٔ خود و خدمت به پیامِ ایلیا، ناممکن است. خواهر وایت هر سه قهرمانِ کتاب‌مقدسی را به‌مثابهٔ نمونه‌سازِ ویلیام میلر معرفی می‌کند؛ کسی که اکنون از سوی الهی‌دانان و مورخانِ نوینِ اَدوِنتیست چنان با او رفتار می‌شود که گویی صرفاً یک «پسرِ مزرعه‌دارِ بی‌چاره» از قرنِ هجدهم بوده است.</w:t>
      </w:r>
    </w:p>
    <w:p>
      <w:pPr>
        <w:pStyle w:val="ArticleBody"/>
        <w:jc w:val="right"/>
        <w:bidi w:val="1"/>
      </w:pPr>
      <w:r>
        <w:rPr>
          <w:rFonts w:ascii="Segoe UI" w:hAnsi="Segoe UI" w:eastAsia="Segoe UI" w:cs="Segoe UI"/>
          <w:rtl w:val="1"/>
        </w:rPr>
        <w:t>ویلیام تیندل یکی از اصلاح‌گرانی بود که در این امتدادِ تاریخِ نبوی برانگیخته شد. اگر بتوانم چنین بیان کنم، «بیانیهٔ مأموریت» او در برابر سفیران پاپ که با آنان مراوده داشت، این بود: «من کاری خواهم کرد که آن پسری که گاوآهن را می‌راند، از کتب مقدس بیش از شما بداند.» ویلیام میلر همان پسرِ روستایی بود که گاوآهن را می‌راند و پیشگوییِ تیندل را به انجام رسانید.</w:t>
      </w:r>
    </w:p>
    <w:p>
      <w:pPr>
        <w:pStyle w:val="ArticleBody"/>
        <w:jc w:val="right"/>
        <w:bidi w:val="1"/>
      </w:pPr>
      <w:r>
        <w:rPr>
          <w:rFonts w:ascii="Segoe UI" w:hAnsi="Segoe UI" w:eastAsia="Segoe UI" w:cs="Segoe UI"/>
          <w:rtl w:val="1"/>
        </w:rPr>
        <w:t>این مقدمه از حیث تمامی تاریخ‌هایی که می‌توانست برای تأیید آنچه تا اینجا عرضه کرده‌ایم به کار گرفته شود، بسیار ساده‌سازی شده است. اکنون برخی از نشانه‌های آلفا و امگا را بررسی خواهیم کرد تا بار دیگر به بررسی میلر به‌عنوان یک راه‌نشان و یک پیام‌آور بازگردیم.</w:t>
      </w:r>
    </w:p>
    <w:p>
      <w:pPr>
        <w:pStyle w:val="ArticleBody"/>
        <w:jc w:val="right"/>
        <w:bidi w:val="1"/>
      </w:pPr>
      <w:r>
        <w:rPr>
          <w:rFonts w:ascii="Segoe UI" w:hAnsi="Segoe UI" w:eastAsia="Segoe UI" w:cs="Segoe UI"/>
          <w:rtl w:val="1"/>
        </w:rPr>
        <w:t>کتاب دانیال آغازِ کتابی است که از دو کتاب تشکیل شده است. پایانِ آن کتاب، کتاب مکاشفه است. هرچند آن‌ها دو کتابِ متمایزند، اما با هم یک کتاب را تشکیل می‌دهند.</w:t>
      </w:r>
    </w:p>
    <w:p>
      <w:pPr>
        <w:pStyle w:val="ArticleBody"/>
        <w:jc w:val="right"/>
        <w:bidi w:val="1"/>
      </w:pPr>
      <w:r>
        <w:rPr>
          <w:rFonts w:ascii="Segoe UI" w:hAnsi="Segoe UI" w:eastAsia="Segoe UI" w:cs="Segoe UI"/>
          <w:rtl w:val="1"/>
        </w:rPr>
        <w:t>سال‌ها پیش، من با یکی از الهی‌دانان شناخته‌شدۀ کلیسای ادونتیست روز هفتم که در مؤسسۀ پژوهش‌های کتاب‌مقدسیِ کنفرانس عمومیِ کلیسای ادونتیست روز هفتم خدمت می‌کرد، تعاملی علنی داشتم. آن الهی‌دان می‌کوشید فهم مرا از شش آیۀ آخرِ دانیال یازده، و نیز فهم مرا از «قربانی دائمی» در کتاب دانیال، اصلاح کند. این تعامل ما در طول مدتی صورت گرفت، زیرا بدین‌گونه بود که او مقاله‌ای تهیه کرد و من به آن پاسخ دادم؛ سپس او در پاسخِ من جواب نوشت، و آنگاه البته من نیز دیدگاه‌های خود را بازگرداندم، و این روند همچنان ادامه یافت. او در خلال این تعامل به من اطلاع داد که در کمیته‌ای که در کنفرانس عمومی در آن خدمت می‌کرد، او را کارشناسِ کتاب دانیال می‌دانستند، و یکی از همکارانش را نیز کارشناسِ مقیمِ کتاب مکاشفه به شمار می‌آوردند. او در تعاملات ما نمی‌خواست به نکات مربوط به کتاب مکاشفه بپردازد، بلکه ترجیح می‌داد آن‌ها را به همکار خود ارجاع دهد. او می‌خواست بحث را فقط در چارچوب کتاب دانیال نگاه دارد.</w:t>
      </w:r>
    </w:p>
    <w:p>
      <w:pPr>
        <w:pStyle w:val="ArticleBody"/>
        <w:jc w:val="right"/>
        <w:bidi w:val="1"/>
      </w:pPr>
      <w:r>
        <w:rPr>
          <w:rFonts w:ascii="Segoe UI" w:hAnsi="Segoe UI" w:eastAsia="Segoe UI" w:cs="Segoe UI"/>
          <w:rtl w:val="1"/>
        </w:rPr>
        <w:t>خواهر وایت به‌روشنی بیان می‌کند که دانیال و مکاشفه یک کتاب‌اند. در آن سطح، آن‌ها نمایانگر کتاب‌مقدس هستند که یک کتاب است و از دو کتاب، عهد عتیق و عهد جدید، تشکیل شده است. خواهر وایت همچنین دربارهٔ کلیسای یهودی اظهار نظر می‌کند که تنها کتاب قدیم را آن یک کتاب می‌شمارد، و نیز دربارهٔ کسانی سخن می‌گوید که کتاب قدیم را نادیده می‌گیرند، زیرا فقط کتاب جدید را درک می‌کنند یا فقط مایل‌اند آن را درک کنند. شهادت الهام‌شدهٔ او این است که اگر شما فقط جدید را بپذیرید، قدیم را رد می‌کنید، و بالعکس. اینکه الهی‌دان ادعا کند که در دانیال متخصص بوده است، اما نه در مکاشفه، تکرار همان مفهوم یهودیِ پذیرش صرفِ عهد عتیق است، و ما می‌دانیم که آن دیدگاه محدود یهودیان را به کجا رساند. اتخاذ هر یک از دو سوی این مسئله—پذیرفتن قدیم و نه جدید، یا پذیرفتن جدید اما نه قدیم—به معنای ردّ تمام شهادت است.</w:t>
      </w:r>
    </w:p>
    <w:p>
      <w:pPr>
        <w:pStyle w:val="ArticleScripture"/>
        <w:jc w:val="right"/>
        <w:bidi w:val="1"/>
      </w:pPr>
      <w:r>
        <w:rPr>
          <w:rFonts w:ascii="Segoe UI" w:hAnsi="Segoe UI" w:eastAsia="Segoe UI" w:cs="Segoe UI"/>
          <w:rtl w:val="1"/>
        </w:rPr>
        <w:t>نجات‌دهنده از شاگردان خود پرسید که آیا این امور را فهمیده‌اند. ایشان پاسخ دادند: «آری، خداوندا.» آنگاه بدیشان گفت: «از این جهت هر کاتبی که برای ملکوت آسمان تعلیم یافته باشد، مانند صاحب‌خانه‌ای است که از گنجینهٔ خود چیزهای نو و کهنه بیرون می‌آورد.» در این مَثَل، عیسی در برابر شاگردان خود مسئولیت کسانی را مطرح ساخت که کارشان این است که نوری را که از او دریافت کرده‌اند به جهان عطا کنند. عهد عتیق در آن زمان تمامِ نوشته‌های مقدسِ موجود بود؛ اما صرفاً برای قدما نوشته نشده بود، بلکه برای همهٔ اعصار و برای همهٔ مردمان بود. عیسی می‌خواست که معلمانِ تعلیمِ او با جدیت عهد عتیق را بجویند تا آن نوری را بیابند که هویت او را به‌عنوان مسیحِ موعودِ پیشگویی‌شده در نبوت استوار می‌سازد و ماهیت مأموریت او را برای جهان آشکار می‌کند. عهد عتیق و عهد جدید جدایی‌ناپذیرند، زیرا هر دو تعالیم مسیح‌اند. تعلیمِ یهودیان، که تنها عهد عتیق را می‌پذیرند، برای نجات نیست، زیرا آنان نجات‌دهنده‌ای را رد می‌کنند که زندگی و خدمت او تحقق شریعت و نبوت‌ها بود. و تعلیمِ کسانی که عهد عتیق را کنار می‌گذارند نیز برای نجات نیست، زیرا آنچه را که شهادت مستقیمِ مسیح است رد می‌کند. شکاکان با خُرده‌گیری بر عهد عتیق آغاز می‌کنند، و تنها گامی دیگر لازم است تا اعتبار عهد جدید را نیز انکار کنند، و بدین‌سان هر دو رد می‌شوند.</w:t>
      </w:r>
    </w:p>
    <w:p>
      <w:pPr>
        <w:pStyle w:val="ArticleScripture"/>
        <w:jc w:val="right"/>
        <w:bidi w:val="1"/>
      </w:pPr>
      <w:r>
        <w:rPr>
          <w:rFonts w:ascii="Segoe UI" w:hAnsi="Segoe UI" w:eastAsia="Segoe UI" w:cs="Segoe UI"/>
          <w:rtl w:val="1"/>
        </w:rPr>
        <w:t>«یہودی، مسیحی دنیا پر اس اعتبار سے بہت کم اثر رکھتے ہیں کہ وہ انہیں احکام کی اہمیت دکھا سکیں، جن میں سبت کی پابند شریعت بھی شامل ہے، کیونکہ جب وہ حق کے پرانے خزانے پیش کرتے ہیں تو یسوع کی شخصی تعلیمات میں موجود نئے خزانوں کو ایک طرف رکھ دیتے ہیں۔ دوسری طرف، سب سے مضبوط وجہ یہ ہے کہ مسیحی، یہودیوں پر اس بات کے لیے اثرانداز ہونے میں ناکام رہتے ہیں کہ وہ مسیح کی تعلیمات کو الٰہی حکمت کی زبان کے طور پر قبول کریں، کیونکہ جب وہ اس کے کلام کے خزانے پیش کرتے ہیں تو وہ عہدِ عتیق کی دولت کو حقارت سے دیکھتے ہیں، جو خدا کے بیٹے کی، موسیٰ کے وسیلہ سے، ابتدائی تعلیمات ہیں۔ وہ اُس شریعت کو رد کرتے ہیں جو سینا سے سنائی گئی، اور چوتھے حکم کے سبت کو بھی، جو باغِ عدن میں مقرر کیا گیا تھا۔ لیکن انجیل کا خادم، جو مسیح کی تعلیمات کی پیروی کرتا ہے، عہدِ عتیق اور عہدِ جدید دونوں کا کامل علم حاصل کرے گا، تاکہ وہ انہیں ان کی حقیقی روشنی میں لوگوں کے سامنے ایک ناقابلِ انفصال کل کے طور پر پیش کر سکے—ایک ایسا کل جس میں ایک دوسرے پر موقوف ہے اور دوسرے کو منور کرتا ہے۔ یوں، جیسے یسوع نے اپنے شاگردوں کو تعلیم دی، وہ اپنے خزانے سے ‘نئی اور پرانی چیزیں’ نکالیں گے۔» Spirit of Prophecy, volume 2, 255.</w:t>
      </w:r>
    </w:p>
    <w:p>
      <w:pPr>
        <w:pStyle w:val="ArticleBody"/>
        <w:jc w:val="right"/>
        <w:bidi w:val="1"/>
      </w:pPr>
      <w:r>
        <w:rPr>
          <w:rFonts w:ascii="Segoe UI" w:hAnsi="Segoe UI" w:eastAsia="Segoe UI" w:cs="Segoe UI"/>
          <w:rtl w:val="1"/>
        </w:rPr>
        <w:t>مشورۀ پیشین کاربرد دیگری نیز برای ادونتیست‌های لاودیکیه‌ای دارد. اینکه کسی مدعی باشد که به کتاب‌مقدس در تمامیت آن، هم عهد عتیق و هم عهد جدید، ایمان دارد، اما روح نبوت را رد کند، همان چالۀ عیناً مشابهِ پذیرفتنِ تنها یک شهادت است. برای تثبیت حقیقت، دو شاهد لازم است؛ پس تثبیت حقیقت با یک شاهد ناممکن است، و اگر کسی بکوشد چنین کند، هر دو شاهد را رد می‌کند و ایمان خود را بر آنچه «نیمه‌حقیقت‌ها» نامیده می‌شود، بنا می‌نهد.</w:t>
      </w:r>
    </w:p>
    <w:p>
      <w:pPr>
        <w:pStyle w:val="ArticleBody"/>
        <w:jc w:val="right"/>
        <w:bidi w:val="1"/>
      </w:pPr>
      <w:r>
        <w:rPr>
          <w:rFonts w:ascii="Segoe UI" w:hAnsi="Segoe UI" w:eastAsia="Segoe UI" w:cs="Segoe UI"/>
          <w:rtl w:val="1"/>
        </w:rPr>
        <w:t>اکنون پرسشی را که در یکی از مقالات آغازینی که از ژوئیهٔ ۲۰۲۳ منتشر شده‌اند آمده بود، تکرار خواهم کرد. آن پرسش این است: «از سال ۱۸۶۳ به این‌سو، چه نور جدیدی از ادونتیسم بیرون آمده است؟» پاسخ به‌سادگی این است: «هیچ.»</w:t>
      </w:r>
    </w:p>
    <w:p>
      <w:pPr>
        <w:pStyle w:val="ArticleScripture"/>
        <w:jc w:val="right"/>
        <w:bidi w:val="1"/>
      </w:pPr>
      <w:r>
        <w:rPr>
          <w:rFonts w:ascii="Segoe UI" w:hAnsi="Segoe UI" w:eastAsia="Segoe UI" w:cs="Segoe UI"/>
          <w:rtl w:val="1"/>
        </w:rPr>
        <w:t>کتاب‌های دانیال و مکاشفه یکی هستند. یکی نبوّت است و دیگری مکاشفه؛ یکی کتابی مُهرشده است و دیگری کتابی گشوده. یوحنا رازهایی را که رعدها بر زبان آوردند شنید، امّا به او فرمان داده شد که آن‌ها را ننویسد.» تفسیری بر کتاب مقدّس ادونتیست‌های روز هفتم، جلد ۷، ۹۷۱.</w:t>
      </w:r>
    </w:p>
    <w:p>
      <w:pPr>
        <w:pStyle w:val="ArticleBody"/>
        <w:jc w:val="right"/>
        <w:bidi w:val="1"/>
      </w:pPr>
      <w:r>
        <w:rPr>
          <w:rFonts w:ascii="Segoe UI" w:hAnsi="Segoe UI" w:eastAsia="Segoe UI" w:cs="Segoe UI"/>
          <w:rtl w:val="1"/>
        </w:rPr>
        <w:t>لہٰذا الفا اور اومیگا اس امر کی نشان دہی کرتے ہیں کہ دانی ایل پہلی اور مکاشفہ آخری ہے۔ دانی ایل ایڈونٹ ازم کے آغاز کی نمائندگی کرتی ہے اور مکاشفہ ایڈونٹ ازم کے انجام کی نمائندگی کرتی ہے۔</w:t>
      </w:r>
    </w:p>
    <w:p>
      <w:pPr>
        <w:pStyle w:val="ArticleScripture"/>
        <w:jc w:val="right"/>
        <w:bidi w:val="1"/>
      </w:pPr>
      <w:r>
        <w:rPr>
          <w:rFonts w:ascii="Segoe UI" w:hAnsi="Segoe UI" w:eastAsia="Segoe UI" w:cs="Segoe UI"/>
          <w:rtl w:val="1"/>
        </w:rPr>
        <w:t>«مکاشفه کتابی مُهر و موم‌شده است، اما همچنین کتابی گشوده است. این کتاب رویدادهای شگفت‌انگیزی را ثبت می‌کند که قرار است در روزهای آخر تاریخ این زمین به وقوع پیوندند. تعالیم این کتاب معین و روشن‌اند، نه رازآلود و نامفهوم. در آن، همان خط نبوتی پی گرفته می‌شود که در دانیال آمده است. خدا برخی نبوت‌ها را تکرار کرده است، و بدین‌سان نشان داده است که باید به آنها اهمیت داده شود. خداوند چیزهایی را که از اهمیت چندانی برخوردار نیستند، تکرار نمی‌کند.» Manuscript Releases, جلد 9، 8.</w:t>
      </w:r>
    </w:p>
    <w:p>
      <w:pPr>
        <w:pStyle w:val="ArticleBody"/>
        <w:jc w:val="right"/>
        <w:bidi w:val="1"/>
      </w:pPr>
      <w:r>
        <w:rPr>
          <w:rFonts w:ascii="Segoe UI" w:hAnsi="Segoe UI" w:eastAsia="Segoe UI" w:cs="Segoe UI"/>
          <w:rtl w:val="1"/>
        </w:rPr>
        <w:t>در آغاز ادونتیسم، در همان آیاتی که ستون مرکزی ادونتیسم هستند، آیاتی که در سال 1798 مُهرگشایی شدند، عیسی خویشتن را به‌عنوان «پَلمونی»، شمارندهٔ شگفت‌انگیز، معرفی کرد. در پایان ادونتیسم، عیسی خویشتن را به‌عنوان «الفا و امگا»، زبان‌شناس شگفت‌انگیز—کلام خدا—معرفی می‌کند. از این‌رو، آغاز ادونتیسم و پیام فرشتهٔ اول «بر زمان آویخته شده بود». در پایان ادونتیسم، پیام فرشتهٔ سوم بر کلام او آویخته خواهد شد.</w:t>
      </w:r>
    </w:p>
    <w:p>
      <w:pPr>
        <w:pStyle w:val="ArticleBody"/>
        <w:jc w:val="right"/>
        <w:bidi w:val="1"/>
      </w:pPr>
      <w:r>
        <w:rPr>
          <w:rFonts w:ascii="Segoe UI" w:hAnsi="Segoe UI" w:eastAsia="Segoe UI" w:cs="Segoe UI"/>
          <w:rtl w:val="1"/>
        </w:rPr>
        <w:t>آغاز و پایان ادونتیسم در خلال تاریخِ ششمین پادشاهیِ نبوتِ کتاب‌مقدس رخ می‌دهد؛ ازاین‌رو، این دو در آغاز و پایان ایالات متحده واقع می‌شوند. تاریخ نبویِ ایالات متحده، تاریخِ دو شاخِ جمهوری‌خواهی و پروتستانتیسم است. در پایان آن تاریخ، آن دو شاخ از برّه به اژدها تبدیل خواهند شد. جمهوری‌خواهی به دموکراسی تبدیل خواهد شد و پروتستانتیسم به پروتستانتیسمِ مرتد مبدل خواهد گشت. هنگامی که جامِ زمانِ آزمایشیِ ایالات متحده شروع به نزدیک شدن به پایان خود می‌کند، چنان‌که اکنون در حال وقوع است، آن دو شاخِ جمهوری‌خواهیِ مرتد و پروتستانتیسمِ مرتد، صورتی برای وحش خواهند ساخت و بدین‌سان کلیسا و دولت را در یک شاخ که همچون اژدها سخن می‌گوید، با هم درمی‌آمیزند. اما خدا بی‌شاهد نخواهد ماند، زیرا در فرایندِ به پایان رساندنِ ایالات متحده، او شاخِ راستینِ پروتستانتیسم را برخواهد انگیخت تا هم بر ضدّ صورتِ وحش در ایالات متحده اعتراض کند و هم پس از آن، بر ضدّ صورتِ وحشی که با تمامی جهان روبه‌رو می‌شود. برانگیختنِ شاخِ پروتستان در پایانِ ایالات متحده، در همان ساختارِ تاریخی به انجام خواهد رسید که شاخِ پروتستان در آغازِ ایالات متحده در آن برانگیخته شد. قومی که پیش‌تر قومِ عهد بودند، کنار گذاشته خواهند شد، و قومی تازه، قومِ تازهٔ عهد خواهند شد. زیر آفتاب هیچ چیز تازه‌ای نیست.</w:t>
      </w:r>
    </w:p>
    <w:p>
      <w:pPr>
        <w:pStyle w:val="ArticleBody"/>
        <w:jc w:val="right"/>
        <w:bidi w:val="1"/>
      </w:pPr>
      <w:r>
        <w:rPr>
          <w:rFonts w:ascii="Segoe UI" w:hAnsi="Segoe UI" w:eastAsia="Segoe UI" w:cs="Segoe UI"/>
          <w:rtl w:val="1"/>
        </w:rPr>
        <w:t>هنگامی که از نبوت‌های زمانی‌ای که در تاریخ میلریتی فهمیده و ارائه شد برای ارزیابی آلفا و امگا استفاده می‌کنیم، درمی‌یابیم که آن دو در حقیقت یک چیز هستند. هر نبوت زمانی با تاریخی آغاز می‌شود که در آن نبوت اعلام می‌گردد، و آن تاریخ همواره نمونه‌ای از تاریخی است که در آن نبوت تحقق می‌یابد.</w:t>
      </w:r>
    </w:p>
    <w:p>
      <w:pPr>
        <w:pStyle w:val="ArticleBody"/>
        <w:jc w:val="right"/>
        <w:bidi w:val="1"/>
      </w:pPr>
      <w:r>
        <w:rPr>
          <w:rFonts w:ascii="Segoe UI" w:hAnsi="Segoe UI" w:eastAsia="Segoe UI" w:cs="Segoe UI"/>
          <w:rtl w:val="1"/>
        </w:rPr>
        <w:t>تاریخ نبوتِ دو ہزار تین سو ساله با فرمانِ سوم در سال ۴۵۷ پیش از میلاد آغاز شد و با پیامِ فرشتهٔ سوم در ۲۲ اکتبر ۱۸۴۴ به پایان رسید. در دوره‌ای که به فرمانِ سوم منتهی می‌شد، اما پیش از فرارسیدن آن، کارِ برپا ساختنِ هیکل و اورشلیم به انجام رسید. به همین‌سان، در تاریخی که به ظهورِ فرشتهٔ سوم منتهی می‌شد، حقایقِ بنیادیِ هیکلِ میلری برقرار گردید.</w:t>
      </w:r>
    </w:p>
    <w:p>
      <w:pPr>
        <w:pStyle w:val="ArticleBody"/>
        <w:jc w:val="right"/>
        <w:bidi w:val="1"/>
      </w:pPr>
      <w:r>
        <w:rPr>
          <w:rFonts w:ascii="Segoe UI" w:hAnsi="Segoe UI" w:eastAsia="Segoe UI" w:cs="Segoe UI"/>
          <w:rtl w:val="1"/>
        </w:rPr>
        <w:t>په ۱۷۹۸ کال کې هغه د دوه زره او پنځه سوه او شلو کلونو نبوت، چې په ۷۲۳ ق.م. کې د شمالي لسو قبیلو په تیت او پرک کېدو سره پیل شوی و، بشپړ شو. دغه نبوت د یو زر او دوه سوه او شپېتو کلونو دوه دورې مشخصوي، چې په هغو کې لومړی د حقیقي بت‌پرستې روم له خوا حقیقي معبد او حقیقي اورشلیم تر پښو لاندې شول، او ورپسې د پاپي روم له خوا د یو زر او دوه سوه او شپېتو کلونو لپاره روحاني ښار او معبد تر پښو لاندې شول. نبوت د شمالي سلطنت له ړنګېدو او د سلطنت د وګړو له تیت او پرک کېدو سره پیل شو. د نبوت په نیمایي کې، یعنې په ۵۳۸ کال کې، د خدای د خلکو د بت‌پرستې روم له خوا تر پښو لاندې کېدل—چې د کتاب‌مقدس د نبوت څلورم سلطنت و—پای ته رسېږي، او د تیارو پېړیو په دښته کې د خدای د کلیسا د تیت او پرک کېدو سبب ګرځي. په ۱۷۹۸ کال کې د دې زماني نبوت پای د کتاب‌مقدس د نبوت د پنځم سلطنت پای نښه کوي. د شمالي لسو قبیلو تیت او پرک کېدل، او همدارنګه د مسیحي کلیسا هغه تیت او پرک کېدل چې دښتې ته وتښتېده، د هغو کسانو د راټولېدو استازیتوب کوي چې ټاکل شوي وو څو د پروتستانت‌مذهب ښکر شي. د لارې نښې ډېر ځله د متضادو په وسیله تمثیلېږي، او تیت او پرک کېدل کولای شي د راټولېدو استازیتوب وکړي، لکه څنګه چې الیاس د یحیی تعمیدورکوونکي استازیتوب کوي. په همدې نبوي مقابله کې الیاس نه مري، خو یحیی تعمیدورکوونکی مري.</w:t>
      </w:r>
    </w:p>
    <w:p>
      <w:pPr>
        <w:pStyle w:val="ArticleBody"/>
        <w:jc w:val="right"/>
        <w:bidi w:val="1"/>
      </w:pPr>
      <w:r>
        <w:rPr>
          <w:rFonts w:ascii="Segoe UI" w:hAnsi="Segoe UI" w:eastAsia="Segoe UI" w:cs="Segoe UI"/>
          <w:rtl w:val="1"/>
        </w:rPr>
        <w:t>در سال ۶۷۷ پیش از میلاد، قبیلهٔ جنوبی یهودا (که در کتاب‌مقدس همچنین به‌عنوان سرزمین جلال شناخته می‌شود) برای دو هزار و پانصد و بیست سال پراکنده گردید، و این دوره در ۲۲ اکتبر ۱۸۴۴ به پایان رسید. آن نبوت، پایمال شدن قوم خدا را مشخص می‌کرد؛ قومی که دانیال در دانیال ۸:۱۳، ۱۴ از آنان با عنوان «لشکر» یاد می‌کند.</w:t>
      </w:r>
    </w:p>
    <w:p>
      <w:pPr>
        <w:pStyle w:val="ArticleScripture"/>
        <w:jc w:val="right"/>
        <w:bidi w:val="1"/>
      </w:pPr>
      <w:r>
        <w:rPr>
          <w:rFonts w:ascii="Segoe UI" w:hAnsi="Segoe UI" w:eastAsia="Segoe UI" w:cs="Segoe UI"/>
          <w:rtl w:val="1"/>
        </w:rPr>
        <w:t>پھر میں نے ایک مقدس کو کلام کرتے سنا، اور ایک دوسرے مقدس نے اُس مخصوص مقدس سے جو کلام کر رہا تھا کہا، روزانہ قربانی، اور ویرانی پھیلانے والی سرکشی کی بابت یہ رویا کب تک رہے گی، کہ مقدِس اور لشکر دونوں پامال کیے جائیں؟ اور اُس نے مجھ سے کہا، دو ہزار تین سو دن تک؛ پھر مقدِس پاک کیا جائے گا۔ دانی ایل 8:13، 14۔</w:t>
      </w:r>
    </w:p>
    <w:p>
      <w:pPr>
        <w:pStyle w:val="ArticleBody"/>
        <w:jc w:val="right"/>
        <w:bidi w:val="1"/>
      </w:pPr>
      <w:r>
        <w:rPr>
          <w:rFonts w:ascii="Segoe UI" w:hAnsi="Segoe UI" w:eastAsia="Segoe UI" w:cs="Segoe UI"/>
          <w:rtl w:val="1"/>
        </w:rPr>
        <w:t>پیشگوییِ دو هزار و سیصد ساله که در همان زمانی به پایان رسید که پیشگوییِ دو هزار و پانصد و بیست ساله‌ای که در سال ۶۷۷ پیش از میلاد آغاز شده بود، به پایان رسید، پایمال شدنِ مَقْدِس را، چنان‌که در دانیال ۸:۱۳، ۱۴ مشخص شده است، معرّفی می‌کرد. پیشگوییِ پراکنده شدنِ یهودا در سال ۶۷۷ پیش از میلاد، پیش از آن با سه حمله از سوی نبوکدنصر همراه بود، و آن پیشگویی با رسیدنِ پیامِ سوم در ۲۲ اکتبر ۱۸۴۴ به پایان رسید.</w:t>
      </w:r>
    </w:p>
    <w:p>
      <w:pPr>
        <w:pStyle w:val="ArticleBody"/>
        <w:jc w:val="right"/>
        <w:bidi w:val="1"/>
      </w:pPr>
      <w:r>
        <w:rPr>
          <w:rFonts w:ascii="Segoe UI" w:hAnsi="Segoe UI" w:eastAsia="Segoe UI" w:cs="Segoe UI"/>
          <w:rtl w:val="1"/>
        </w:rPr>
        <w:t>دو نبوّتِ دو هزار و پانصد و بیست‌ساله که به‌ترتیب در سال‌های 1798 و 1844 پایان می‌یابند، چهل‌وشش سالِ بنای بنیادِ هیکلِ میلریتی را مشخص می‌سازند. موسی چهل‌وشش روز را در دریافت دستورالعمل‌ها برای ساختن هیکل گذرانید؛ بازسازیِ هیکلِ هیرودیس در زمانِ مسیح چهل‌وشش سال به طول انجامید، که در سالِ تعمیدِ مسیح به پایان رسید. او از تعمید به بیابان رفت تا چهل روز در آنجا باشد، و چون بازگشت، برای نخستین بار هیکل را تطهیر کرد، و یهودیانِ خرده‌گیر می‌خواستند بدانند که به چه اقتداری چنین کاری انجام داده است.</w:t>
      </w:r>
    </w:p>
    <w:p>
      <w:pPr>
        <w:pStyle w:val="ArticleScripture"/>
        <w:jc w:val="right"/>
        <w:bidi w:val="1"/>
      </w:pPr>
      <w:r>
        <w:rPr>
          <w:rFonts w:ascii="Segoe UI" w:hAnsi="Segoe UI" w:eastAsia="Segoe UI" w:cs="Segoe UI"/>
          <w:rtl w:val="1"/>
        </w:rPr>
        <w:t>اور یہودیوں کی عیدِ فسح نزدیک تھی، اور یسوع یروشلیم کو گیا۔ اور اُس نے ہیکل میں بیلوں اور بھیڑوں اور کبوتروں کے بیچنے والوں کو، اور صرافوں کو بیٹھے ہوئے پایا۔ اور اُس نے رسّیوں کا ایک کوڑا بنا کر اُن سب کو، اور بھیڑوں اور بیلوں کو، ہیکل سے باہر نکال دیا؛ اور صرافوں کا روپیہ بکھیر دیا، اور اُن کی میزیں اُلٹ دیں۔ اور کبوتر بیچنے والوں سے کہا، اِن چیزوں کو یہاں سے لے جاؤ؛ میرے باپ کے گھر کو تجارت کا گھر نہ بناؤ۔ اُس کے شاگردوں کو یاد آیا کہ لکھا ہے: تیری خانہ کی غیرت مجھے کھا گئی ہے۔ پس یہودیوں نے جواب میں اُس سے کہا، تُو ہمیں کون سا نشان دکھاتا ہے، جو یہ کام کرتا ہے؟ یسوع نے جواب میں اُن سے کہا، اِس ہیکل کو ڈھا دو، اور میں تین دن میں اسے پھر کھڑا کر دوں گا۔ تب یہودیوں نے کہا، اِس ہیکل کے بننے میں چھیالیس برس لگے ہیں، اور کیا تُو اسے تین دن میں پھر کھڑا کر دے گا؟ مگر وہ اپنے بدن کی ہیکل کی بابت کہتا تھا۔ پس جب وہ مُردوں میں سے جی اُٹھا، تو اُس کے شاگردوں کو یاد آیا کہ اُس نے یہ بات اُن سے کہی تھی؛ اور اُنہوں نے کتابِ مقدس اور اُس کلام کا یقین کیا جو یسوع نے کہا تھا۔ یوحنا 2:13–22۔</w:t>
      </w:r>
    </w:p>
    <w:p>
      <w:pPr>
        <w:pStyle w:val="ArticleBody"/>
        <w:jc w:val="right"/>
        <w:bidi w:val="1"/>
      </w:pPr>
      <w:r>
        <w:rPr>
          <w:rFonts w:ascii="Segoe UI" w:hAnsi="Segoe UI" w:eastAsia="Segoe UI" w:cs="Segoe UI"/>
          <w:rtl w:val="1"/>
        </w:rPr>
        <w:t>معبد ميليري از سال 1798، در پایان نخستین نبوتِ دو هزار و پانصد و بیست‌ساله، طی چهل و شش سال بنا شد و چهل و شش سال بعد، در سال 1844، با تحقق دومین نبوتِ دو هزار و پانصد و بیست‌ساله، به پایان رسید. آن چهل و شش سال با آمدن فرشتهٔ اول آغاز شد و با آمدن فرشتهٔ سوم پایان یافت، زیرا مسیح گفت که معبد او در سه روز برپا خواهد شد. اگر از دیدن این حقایق اکراه دارید، سبب آن دو مشکل اساسی است، افزون بر مشکلاتی که ممکن است در دلی نامایل و ناایمان وجود داشته باشد. مشکل نخست آن است که شما مایل نیستید به کلام نبوتی از این منظر نزدیک شوید که تاریخ تکرار می‌شود. شما تاریخ‌گرا نیستید. مشکل دیگر، ناتوانی در به‌کار بردن واژگان نمادینی است که در کلام خدا به‌وسیلهٔ کلام خدا ثبت شده‌اند. آغازهای همهٔ این نبوت‌ها پایان را مشخص می‌کنند، و همواره بسیار بیش از صرفِ تاریخ‌هایی را که تکرار می‌شوند، آشکار می‌سازند.</w:t>
      </w:r>
    </w:p>
    <w:p>
      <w:pPr>
        <w:pStyle w:val="ArticleBody"/>
        <w:jc w:val="right"/>
        <w:bidi w:val="1"/>
      </w:pPr>
      <w:r>
        <w:rPr>
          <w:rFonts w:ascii="Segoe UI" w:hAnsi="Segoe UI" w:eastAsia="Segoe UI" w:cs="Segoe UI"/>
          <w:rtl w:val="1"/>
        </w:rPr>
        <w:t>کتاب‌مقدس می‌گوید که ما هیکلی برای روح‌القدس هستیم، و هیکلِ بدن از چهل‌وشش کروموزوم تشکیل شده است. دانشمندانی که آن چهل‌وشش کروموزوم را مطالعه می‌کنند، به ما اطلاع می‌دهند که بیست‌وسه کروموزومِ مردانه و بیست‌وسه کروموزومِ زنانه به گردِ پروتئینی پیچیده شده‌اند که به شکل صلیب است.</w:t>
      </w:r>
    </w:p>
    <w:p>
      <w:pPr>
        <w:pStyle w:val="ArticleBody"/>
        <w:jc w:val="right"/>
        <w:bidi w:val="1"/>
      </w:pPr>
      <w:r>
        <w:rPr>
          <w:rFonts w:ascii="Segoe UI" w:hAnsi="Segoe UI" w:eastAsia="Segoe UI" w:cs="Segoe UI"/>
          <w:rtl w:val="1"/>
        </w:rPr>
        <w:t>در دانیال دوازده، سه نبوت زمانیِ به‌هم‌پیوسته وجود دارد. نخستینِ آنها به پراکنده شدن قدرت قوم مقدس اشاره می‌کند، که نمایانگر «هفت زمان»ِ لاویان بیست‌وشش است. پراکنده شدن قدرت قوم مقدس که به‌وسیله ایشان تحقق یافت، دو هزار و پانصد و بیست سال بود؛ با این حال، در دانیال دوازده تنها به نیمۀ پایانیِ آن دوره اشاره شده است. این نبوت، دانیال را به تصویر می‌کشد که مقصودِ این اعلام را درنمی‌یافت.</w:t>
      </w:r>
    </w:p>
    <w:p>
      <w:pPr>
        <w:pStyle w:val="ArticleScripture"/>
        <w:jc w:val="right"/>
        <w:bidi w:val="1"/>
      </w:pPr>
      <w:r>
        <w:rPr>
          <w:rFonts w:ascii="Segoe UI" w:hAnsi="Segoe UI" w:eastAsia="Segoe UI" w:cs="Segoe UI"/>
          <w:rtl w:val="1"/>
        </w:rPr>
        <w:t>و آن مردِ ملبس به کتان را که بر آب‌های نهر بود شنیدم، هنگامی که دست راست و دست چپ خود را به سوی آسمان برافراشت و به آن که تا ابد زنده است سوگند یاد کرد که این امور برای زمانی و زمان‌ها و نصف زمانی خواهد بود؛ و چون به پراکنده ساختن قدرت قوم مقدس پایان رسانیده باشد، همهٔ این امور به انجام خواهد رسید. و من شنیدم، اما درنیافتم؛ پس گفتم: ای سرورم، پایان این امور چه خواهد بود؟ دانیال ۱۲:۷، ۸</w:t>
      </w:r>
    </w:p>
    <w:p>
      <w:pPr>
        <w:pStyle w:val="ArticleBody"/>
        <w:jc w:val="right"/>
        <w:bidi w:val="1"/>
      </w:pPr>
      <w:r>
        <w:rPr>
          <w:rFonts w:ascii="Segoe UI" w:hAnsi="Segoe UI" w:eastAsia="Segoe UI" w:cs="Segoe UI"/>
          <w:rtl w:val="1"/>
        </w:rPr>
        <w:t>دانیال دوازده پیامی را به تصویر می‌کشد که در زمان آخر گشوده شد، که آن سال ۱۷۹۸ بود. در این بخش، دانیال نمایندهٔ ویلیام میلر است، یعنی نماد اصلی حکیمان در آن تاریخ. میلر نخست به نبوت دو هزار و پانصد و بیست‌سالهٔ لاویان بیست‌وشش هدایت شد، و در آیات هفت و هشت نمایانگر حکیمانی است که باید این حقیقت را با هم سازگار سازند که پراکندگی دو هزار و پانصد و بیست‌ساله، بی‌تردید همان پراکندن قوم خدا به‌وسیلهٔ خودِ خدا شناسایی می‌شود.</w:t>
      </w:r>
    </w:p>
    <w:p>
      <w:pPr>
        <w:pStyle w:val="ArticleScripture"/>
        <w:jc w:val="right"/>
        <w:bidi w:val="1"/>
      </w:pPr>
      <w:r>
        <w:rPr>
          <w:rFonts w:ascii="Segoe UI" w:hAnsi="Segoe UI" w:eastAsia="Segoe UI" w:cs="Segoe UI"/>
          <w:rtl w:val="1"/>
        </w:rPr>
        <w:t>و اگر با وجود همۀ اینها هنوز هم به من گوش فرا ندهید، آنگاه شما را به سبب گناهانتان هفت بار بیشتر مجازات خواهم کرد. و غرورِ قدرتِ شما را درهم خواهم شکست؛ و آسمانِ شما را چون آهن، و زمینِ شما را چون برنج خواهم ساخت. لاویان 26:18، 19.</w:t>
      </w:r>
    </w:p>
    <w:p>
      <w:pPr>
        <w:pStyle w:val="ArticleBody"/>
        <w:jc w:val="right"/>
        <w:bidi w:val="1"/>
      </w:pPr>
      <w:r>
        <w:rPr>
          <w:rFonts w:ascii="Segoe UI" w:hAnsi="Segoe UI" w:eastAsia="Segoe UI" w:cs="Segoe UI"/>
          <w:rtl w:val="1"/>
        </w:rPr>
        <w:t>غرورِ اسرائیلِ باستان آن هنگام بود که به آنان اجازه داده شد خدا را به‌عنوان پادشاه خویش رد کنند و پادشاهی انسانی برگزینند. غرور ایشان، که پیش از سقوط می‌آید (امثال 16:18)، همان میل آنان بود به اینکه همچون همهٔ پادشاهی‌های بت‌پرستِ پیرامون خود باشند. نخست برچیدنِ پادشاهی شمالی و سپس پادشاهی جنوبی، به‌ترتیب در سال‌های 723 ق.م. و 677 ق.م.، پراکنده ساختنِ قدرت (پادشاه) بود.</w:t>
      </w:r>
    </w:p>
    <w:p>
      <w:pPr>
        <w:pStyle w:val="ArticleBody"/>
        <w:jc w:val="right"/>
        <w:bidi w:val="1"/>
      </w:pPr>
      <w:r>
        <w:rPr>
          <w:rFonts w:ascii="Segoe UI" w:hAnsi="Segoe UI" w:eastAsia="Segoe UI" w:cs="Segoe UI"/>
          <w:rtl w:val="1"/>
        </w:rPr>
        <w:t>ملر نمایندۀ حکیمانی بود که افزایشِ معرفتی را که در آیات پیشینِ دانیال دوازده مُهرگشایی شده بود، درک کردند؛ و در آیات هفت و هشت، او به‌صورت کسی تصویر شده است که رابطۀ هزار و دویست و شصت سال را با دو هزار و پانصد و بیست سالِ پراکندگیِ قومِ خدا درنمی‌یابد. دانیال نمایندۀ قومِ خدا در پایانِ اَدونتیسم است، همان‌گونه که در آغازِ اَدونتیسم نیز نمایندۀ ملر می‌باشد. در پایانِ اَدونتیسم نیز همان معضل وجود دارد، زیرا هنگامی که اَدونتیسم فهمِ ملر از «هفت زمان» را کنار نهاد، ناگزیر شد که هزار و دویست و شصت سال را فقط به‌عنوان اعصارِ تاریکی شناسایی کند. حکیمان در پایان، مشکلی مشابه برای حل کردن داشتند؛ همان‌گونه که دانیال و ملر آن را به تصویر می‌کشند. چرا برای تصویر کردن سه زمان و نیم، به‌جای هفت زمان، از اصطلاحاتِ لاویان بیست و شش استفاده شده است؟</w:t>
      </w:r>
    </w:p>
    <w:p>
      <w:pPr>
        <w:pStyle w:val="ArticleBody"/>
        <w:jc w:val="right"/>
        <w:bidi w:val="1"/>
      </w:pPr>
      <w:r>
        <w:rPr>
          <w:rFonts w:ascii="Segoe UI" w:hAnsi="Segoe UI" w:eastAsia="Segoe UI" w:cs="Segoe UI"/>
          <w:rtl w:val="1"/>
        </w:rPr>
        <w:t>میلر هرگز این معضل را به‌طور کامل حل نکرد، اما در سال 1856 آخرین «نور تازهٔ نبوی» در سلسله‌ای از شش مقاله—که هرگز به پایان نرسید—ارائه شد که در آن، «هفت زمان» چنین شناسایی می‌شد که نمایانگر سه سال و نیمِ پایمال‌کردن اسرائیلِ واقعیِ خدا به دست رومِ بت‌پرست است، و به دنبال آن سه سال و نیمِ پایمال‌کردن اسرائیلِ روحانی به دست رومِ پاپی. هفت سال بعد، ادونتیسم آشکارا تمامی نورِ مربوط به هفت زمان را رد کرد و بدین‌سان این معضل را برای حکیمان در زمان آخر، در سال 1989، مهیا ساخت؛ هنگامی که، چنان‌که در دانیال باب یازده، آیهٔ چهل، توصیف شده است، کشورهای نمایانگر اتحاد جماهیر شورویِ سابق به دست پاپی و ایالات متحده جاروب شدند.</w:t>
      </w:r>
    </w:p>
    <w:p>
      <w:pPr>
        <w:pStyle w:val="ArticleBody"/>
        <w:jc w:val="right"/>
        <w:bidi w:val="1"/>
      </w:pPr>
      <w:r>
        <w:rPr>
          <w:rFonts w:ascii="Segoe UI" w:hAnsi="Segoe UI" w:eastAsia="Segoe UI" w:cs="Segoe UI"/>
          <w:rtl w:val="1"/>
        </w:rPr>
        <w:t>نخستین نوری که به میلر داده شد در سال ۱۸۶۳ رد گردید، و آخرین نور دربارهٔ این موضوع توسط هیرام ادسون در آن شش مقاله ارائه شد. آن مقالات متوقف شدند و هفت سال (زمان) بعد، قدرت اسرائیل جدید کنار نهاده شد تا از کلیساهای بت‌پرست تقلید شود؛ همان کلیساهایی که چند سال پیش از آن، به‌درستی به‌عنوان دختران بابل شناخته شده بودند. هفت زمانِ لاویان بیست‌وشش، به‌عنوان یک آموزهٔ نبوی، به سنگ لغزش تبدیل شد، و غرور اسرائیل باستان، چنان‌که در خواست ایشان برای آنکه شائول به‌عنوان پادشاه بر آنان حکومت کند نمایان بود، تکرار گردید. عیسی پایان را با آغاز بازنمایی می‌کند.</w:t>
      </w:r>
    </w:p>
    <w:p>
      <w:pPr>
        <w:pStyle w:val="ArticleBody"/>
        <w:jc w:val="right"/>
        <w:bidi w:val="1"/>
      </w:pPr>
      <w:r>
        <w:rPr>
          <w:rFonts w:ascii="Segoe UI" w:hAnsi="Segoe UI" w:eastAsia="Segoe UI" w:cs="Segoe UI"/>
          <w:rtl w:val="1"/>
        </w:rPr>
        <w:t>کتاب دانیال همچنین نبوتی هزار و دویست و نود ساله را، همراه با نبوتی هزار و سیصد و سی‌وپنج ساله، معرفی می‌کند که هر دو از زمان برداشته شدن «قربانیِ دائمی» در سال 508 آغاز می‌شوند. برداشته شدن «قربانیِ دائمی» نمایانگر برطرف شدن مقاومتِ رومِ بت‌پرست در برابر برآمدنِ قدرتِ پاپی در سال 538 است. پیش از آنکه قدرت پاپی در سال 538 بر تختِ زمین نشانده شود، یک دورهٔ انتقالیِ سی‌ساله وجود داشت؛ سپس باقی‌ماندهٔ هزار و دویست و شصت سال در 1798 به پایان می‌رسد. این سی سالِ انتقال از یک پادشاهی به پادشاهیِ بعدی، سال‌های پایانیِ حکومتِ پاپی را مشخص می‌سازد که به استقرارِ ششمین پادشاهیِ نبوتِ کتاب‌مقدس بر تختِ زمین در سال 1798 می‌انجامد. آغازِ نبوتِ هزار و دویست و نود ساله، همان‌گونه که پایانِ آن نیز چنین است، انتقال از یک پادشاهیِ نبوتِ کتاب‌مقدس به پادشاهیِ بعدیِ نبوتِ کتاب‌مقدس را مشخص می‌سازد.</w:t>
      </w:r>
    </w:p>
    <w:p>
      <w:pPr>
        <w:pStyle w:val="ArticleBody"/>
        <w:jc w:val="right"/>
        <w:bidi w:val="1"/>
      </w:pPr>
      <w:r>
        <w:rPr>
          <w:rFonts w:ascii="Segoe UI" w:hAnsi="Segoe UI" w:eastAsia="Segoe UI" w:cs="Segoe UI"/>
          <w:rtl w:val="1"/>
        </w:rPr>
        <w:t>نبوتِ ایک ہزار تین سو پینتیس سالہ، جو 508 میں “روزانہ” کے ہٹائے جانے سے شروع ہوئی، 1843 میں ختم ہوتی ہے۔</w:t>
      </w:r>
    </w:p>
    <w:p>
      <w:pPr>
        <w:pStyle w:val="ArticleScripture"/>
        <w:jc w:val="right"/>
        <w:bidi w:val="1"/>
      </w:pPr>
      <w:r>
        <w:rPr>
          <w:rFonts w:ascii="Segoe UI" w:hAnsi="Segoe UI" w:eastAsia="Segoe UI" w:cs="Segoe UI"/>
          <w:rtl w:val="1"/>
        </w:rPr>
        <w:t>اور اُس وقت سے کہ دائمی قربانی موقوف کر دی جائے گی اور وہ مکروہ شے جو ویرانی پیدا کرتی ہے قائم کی جائے گی، ایک ہزار دو سو نوّے دن ہوں گے۔ مبارک ہے وہ جو انتظار کرتا ہے اور ایک ہزار تین سو پینتیس دنوں تک پہنچتا ہے۔ دانی ایل 12:11، 12۔</w:t>
      </w:r>
    </w:p>
    <w:p>
      <w:pPr>
        <w:pStyle w:val="ArticleBody"/>
        <w:jc w:val="right"/>
        <w:bidi w:val="1"/>
      </w:pPr>
      <w:r>
        <w:rPr>
          <w:rFonts w:ascii="Segoe UI" w:hAnsi="Segoe UI" w:eastAsia="Segoe UI" w:cs="Segoe UI"/>
          <w:rtl w:val="1"/>
        </w:rPr>
        <w:t>نبوتِ تیرہ سو پینتیس برس 1843 میں پوری ہوئی، اور دانی ایل کہتا ہے کہ وہ لوگ مبارک ہوں گے جو اُس وقت “انتظار کرتے رہے” جب یہ نبوت پوری ہونے والی تھی۔ سسٹر وائٹ اسے یوں بیان کرتی ہیں۔</w:t>
      </w:r>
    </w:p>
    <w:p>
      <w:pPr>
        <w:pStyle w:val="ArticleScripture"/>
        <w:jc w:val="right"/>
        <w:bidi w:val="1"/>
      </w:pPr>
      <w:r>
        <w:rPr>
          <w:rFonts w:ascii="Segoe UI" w:hAnsi="Segoe UI" w:eastAsia="Segoe UI" w:cs="Segoe UI"/>
          <w:rtl w:val="1"/>
        </w:rPr>
        <w:t>«مبارک‌اند چشمانی که آن چیزهایی را که در سال‌های ۱۸۴۳ و ۱۸۴۴ دیده شد، دیدند.»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পয়গাম</w:t>
      </w:r>
      <w:r>
        <w:rPr>
          <w:rFonts w:ascii="Segoe UI" w:hAnsi="Segoe UI" w:eastAsia="Segoe UI" w:cs="Segoe UI"/>
          <w:rtl w:val="1"/>
        </w:rPr>
        <w:t xml:space="preserve"> </w:t>
      </w:r>
      <w:r>
        <w:rPr>
          <w:rFonts w:ascii="Nirmala UI" w:hAnsi="Nirmala UI" w:eastAsia="Nirmala UI" w:cs="Nirmala UI"/>
          <w:rtl w:val="1"/>
        </w:rPr>
        <w:t>দেওয়া</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এই</w:t>
      </w:r>
      <w:r>
        <w:rPr>
          <w:rFonts w:ascii="Segoe UI" w:hAnsi="Segoe UI" w:eastAsia="Segoe UI" w:cs="Segoe UI"/>
          <w:rtl w:val="1"/>
        </w:rPr>
        <w:t xml:space="preserve"> </w:t>
      </w:r>
      <w:r>
        <w:rPr>
          <w:rFonts w:ascii="Nirmala UI" w:hAnsi="Nirmala UI" w:eastAsia="Nirmala UI" w:cs="Nirmala UI"/>
          <w:rtl w:val="1"/>
        </w:rPr>
        <w:t>পয়গাম</w:t>
      </w:r>
      <w:r>
        <w:rPr>
          <w:rFonts w:ascii="Segoe UI" w:hAnsi="Segoe UI" w:eastAsia="Segoe UI" w:cs="Segoe UI"/>
          <w:rtl w:val="1"/>
        </w:rPr>
        <w:t xml:space="preserve"> </w:t>
      </w:r>
      <w:r>
        <w:rPr>
          <w:rFonts w:ascii="Nirmala UI" w:hAnsi="Nirmala UI" w:eastAsia="Nirmala UI" w:cs="Nirmala UI"/>
          <w:rtl w:val="1"/>
        </w:rPr>
        <w:t>পুনরায়</w:t>
      </w:r>
      <w:r>
        <w:rPr>
          <w:rFonts w:ascii="Segoe UI" w:hAnsi="Segoe UI" w:eastAsia="Segoe UI" w:cs="Segoe UI"/>
          <w:rtl w:val="1"/>
        </w:rPr>
        <w:t xml:space="preserve"> </w:t>
      </w:r>
      <w:r>
        <w:rPr>
          <w:rFonts w:ascii="Nirmala UI" w:hAnsi="Nirmala UI" w:eastAsia="Nirmala UI" w:cs="Nirmala UI"/>
          <w:rtl w:val="1"/>
        </w:rPr>
        <w:t>ঘোষণা</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কোনো</w:t>
      </w:r>
      <w:r>
        <w:rPr>
          <w:rFonts w:ascii="Segoe UI" w:hAnsi="Segoe UI" w:eastAsia="Segoe UI" w:cs="Segoe UI"/>
          <w:rtl w:val="1"/>
        </w:rPr>
        <w:t xml:space="preserve"> </w:t>
      </w:r>
      <w:r>
        <w:rPr>
          <w:rFonts w:ascii="Nirmala UI" w:hAnsi="Nirmala UI" w:eastAsia="Nirmala UI" w:cs="Nirmala UI"/>
          <w:rtl w:val="1"/>
        </w:rPr>
        <w:t>বিলম্ব</w:t>
      </w:r>
      <w:r>
        <w:rPr>
          <w:rFonts w:ascii="Segoe UI" w:hAnsi="Segoe UI" w:eastAsia="Segoe UI" w:cs="Segoe UI"/>
          <w:rtl w:val="1"/>
        </w:rPr>
        <w:t xml:space="preserve"> </w:t>
      </w:r>
      <w:r>
        <w:rPr>
          <w:rFonts w:ascii="Nirmala UI" w:hAnsi="Nirmala UI" w:eastAsia="Nirmala UI" w:cs="Nirmala UI"/>
          <w:rtl w:val="1"/>
        </w:rPr>
        <w:t>হওয়া</w:t>
      </w:r>
      <w:r>
        <w:rPr>
          <w:rFonts w:ascii="Segoe UI" w:hAnsi="Segoe UI" w:eastAsia="Segoe UI" w:cs="Segoe UI"/>
          <w:rtl w:val="1"/>
        </w:rPr>
        <w:t xml:space="preserve"> </w:t>
      </w:r>
      <w:r>
        <w:rPr>
          <w:rFonts w:ascii="Nirmala UI" w:hAnsi="Nirmala UI" w:eastAsia="Nirmala UI" w:cs="Nirmala UI"/>
          <w:rtl w:val="1"/>
        </w:rPr>
        <w:t>উচিত</w:t>
      </w:r>
      <w:r>
        <w:rPr>
          <w:rFonts w:ascii="Segoe UI" w:hAnsi="Segoe UI" w:eastAsia="Segoe UI" w:cs="Segoe UI"/>
          <w:rtl w:val="1"/>
        </w:rPr>
        <w:t xml:space="preserve"> </w:t>
      </w:r>
      <w:r>
        <w:rPr>
          <w:rFonts w:ascii="Nirmala UI" w:hAnsi="Nirmala UI" w:eastAsia="Nirmala UI" w:cs="Nirmala UI"/>
          <w:rtl w:val="1"/>
        </w:rPr>
        <w:t>নয়</w:t>
      </w:r>
      <w:r>
        <w:rPr>
          <w:rFonts w:ascii="Segoe UI" w:hAnsi="Segoe UI" w:eastAsia="Segoe UI" w:cs="Segoe UI"/>
          <w:rtl w:val="1"/>
        </w:rPr>
        <w:t xml:space="preserve">, </w:t>
      </w:r>
      <w:r>
        <w:rPr>
          <w:rFonts w:ascii="Nirmala UI" w:hAnsi="Nirmala UI" w:eastAsia="Nirmala UI" w:cs="Nirmala UI"/>
          <w:rtl w:val="1"/>
        </w:rPr>
        <w:t>কারণ</w:t>
      </w:r>
      <w:r>
        <w:rPr>
          <w:rFonts w:ascii="Segoe UI" w:hAnsi="Segoe UI" w:eastAsia="Segoe UI" w:cs="Segoe UI"/>
          <w:rtl w:val="1"/>
        </w:rPr>
        <w:t xml:space="preserve"> </w:t>
      </w:r>
      <w:r>
        <w:rPr>
          <w:rFonts w:ascii="Nirmala UI" w:hAnsi="Nirmala UI" w:eastAsia="Nirmala UI" w:cs="Nirmala UI"/>
          <w:rtl w:val="1"/>
        </w:rPr>
        <w:t>সময়ের</w:t>
      </w:r>
      <w:r>
        <w:rPr>
          <w:rFonts w:ascii="Segoe UI" w:hAnsi="Segoe UI" w:eastAsia="Segoe UI" w:cs="Segoe UI"/>
          <w:rtl w:val="1"/>
        </w:rPr>
        <w:t xml:space="preserve"> </w:t>
      </w:r>
      <w:r>
        <w:rPr>
          <w:rFonts w:ascii="Nirmala UI" w:hAnsi="Nirmala UI" w:eastAsia="Nirmala UI" w:cs="Nirmala UI"/>
          <w:rtl w:val="1"/>
        </w:rPr>
        <w:t>লক্ষণসমূহ</w:t>
      </w:r>
      <w:r>
        <w:rPr>
          <w:rFonts w:ascii="Segoe UI" w:hAnsi="Segoe UI" w:eastAsia="Segoe UI" w:cs="Segoe UI"/>
          <w:rtl w:val="1"/>
        </w:rPr>
        <w:t xml:space="preserve"> </w:t>
      </w:r>
      <w:r>
        <w:rPr>
          <w:rFonts w:ascii="Nirmala UI" w:hAnsi="Nirmala UI" w:eastAsia="Nirmala UI" w:cs="Nirmala UI"/>
          <w:rtl w:val="1"/>
        </w:rPr>
        <w:t>পূর্ণতা</w:t>
      </w:r>
      <w:r>
        <w:rPr>
          <w:rFonts w:ascii="Segoe UI" w:hAnsi="Segoe UI" w:eastAsia="Segoe UI" w:cs="Segoe UI"/>
          <w:rtl w:val="1"/>
        </w:rPr>
        <w:t xml:space="preserve"> </w:t>
      </w:r>
      <w:r>
        <w:rPr>
          <w:rFonts w:ascii="Nirmala UI" w:hAnsi="Nirmala UI" w:eastAsia="Nirmala UI" w:cs="Nirmala UI"/>
          <w:rtl w:val="1"/>
        </w:rPr>
        <w:t>লাভ</w:t>
      </w:r>
      <w:r>
        <w:rPr>
          <w:rFonts w:ascii="Segoe UI" w:hAnsi="Segoe UI" w:eastAsia="Segoe UI" w:cs="Segoe UI"/>
          <w:rtl w:val="1"/>
        </w:rPr>
        <w:t xml:space="preserve"> </w:t>
      </w:r>
      <w:r>
        <w:rPr>
          <w:rFonts w:ascii="Nirmala UI" w:hAnsi="Nirmala UI" w:eastAsia="Nirmala UI" w:cs="Nirmala UI"/>
          <w:rtl w:val="1"/>
        </w:rPr>
        <w:t>করছে</w:t>
      </w:r>
      <w:r>
        <w:rPr>
          <w:rFonts w:ascii="Segoe UI" w:hAnsi="Segoe UI" w:eastAsia="Segoe UI" w:cs="Segoe UI"/>
          <w:rtl w:val="1"/>
        </w:rPr>
        <w:t xml:space="preserve">; </w:t>
      </w:r>
      <w:r>
        <w:rPr>
          <w:rFonts w:ascii="Nirmala UI" w:hAnsi="Nirmala UI" w:eastAsia="Nirmala UI" w:cs="Nirmala UI"/>
          <w:rtl w:val="1"/>
        </w:rPr>
        <w:t>সমাপনী</w:t>
      </w:r>
      <w:r>
        <w:rPr>
          <w:rFonts w:ascii="Segoe UI" w:hAnsi="Segoe UI" w:eastAsia="Segoe UI" w:cs="Segoe UI"/>
          <w:rtl w:val="1"/>
        </w:rPr>
        <w:t xml:space="preserve"> </w:t>
      </w:r>
      <w:r>
        <w:rPr>
          <w:rFonts w:ascii="Nirmala UI" w:hAnsi="Nirmala UI" w:eastAsia="Nirmala UI" w:cs="Nirmala UI"/>
          <w:rtl w:val="1"/>
        </w:rPr>
        <w:t>কাজ</w:t>
      </w:r>
      <w:r>
        <w:rPr>
          <w:rFonts w:ascii="Segoe UI" w:hAnsi="Segoe UI" w:eastAsia="Segoe UI" w:cs="Segoe UI"/>
          <w:rtl w:val="1"/>
        </w:rPr>
        <w:t xml:space="preserve"> </w:t>
      </w:r>
      <w:r>
        <w:rPr>
          <w:rFonts w:ascii="Nirmala UI" w:hAnsi="Nirmala UI" w:eastAsia="Nirmala UI" w:cs="Nirmala UI"/>
          <w:rtl w:val="1"/>
        </w:rPr>
        <w:t>অবশ্যই</w:t>
      </w:r>
      <w:r>
        <w:rPr>
          <w:rFonts w:ascii="Segoe UI" w:hAnsi="Segoe UI" w:eastAsia="Segoe UI" w:cs="Segoe UI"/>
          <w:rtl w:val="1"/>
        </w:rPr>
        <w:t xml:space="preserve"> </w:t>
      </w:r>
      <w:r>
        <w:rPr>
          <w:rFonts w:ascii="Nirmala UI" w:hAnsi="Nirmala UI" w:eastAsia="Nirmala UI" w:cs="Nirmala UI"/>
          <w:rtl w:val="1"/>
        </w:rPr>
        <w:t>সম্পন্ন</w:t>
      </w:r>
      <w:r>
        <w:rPr>
          <w:rFonts w:ascii="Segoe UI" w:hAnsi="Segoe UI" w:eastAsia="Segoe UI" w:cs="Segoe UI"/>
          <w:rtl w:val="1"/>
        </w:rPr>
        <w:t xml:space="preserve"> </w:t>
      </w:r>
      <w:r>
        <w:rPr>
          <w:rFonts w:ascii="Nirmala UI" w:hAnsi="Nirmala UI" w:eastAsia="Nirmala UI" w:cs="Nirmala UI"/>
          <w:rtl w:val="1"/>
        </w:rPr>
        <w:t>করতে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অল্প</w:t>
      </w:r>
      <w:r>
        <w:rPr>
          <w:rFonts w:ascii="Segoe UI" w:hAnsi="Segoe UI" w:eastAsia="Segoe UI" w:cs="Segoe UI"/>
          <w:rtl w:val="1"/>
        </w:rPr>
        <w:t xml:space="preserve"> </w:t>
      </w:r>
      <w:r>
        <w:rPr>
          <w:rFonts w:ascii="Nirmala UI" w:hAnsi="Nirmala UI" w:eastAsia="Nirmala UI" w:cs="Nirmala UI"/>
          <w:rtl w:val="1"/>
        </w:rPr>
        <w:t>সময়ের</w:t>
      </w:r>
      <w:r>
        <w:rPr>
          <w:rFonts w:ascii="Segoe UI" w:hAnsi="Segoe UI" w:eastAsia="Segoe UI" w:cs="Segoe UI"/>
          <w:rtl w:val="1"/>
        </w:rPr>
        <w:t xml:space="preserve"> </w:t>
      </w:r>
      <w:r>
        <w:rPr>
          <w:rFonts w:ascii="Nirmala UI" w:hAnsi="Nirmala UI" w:eastAsia="Nirmala UI" w:cs="Nirmala UI"/>
          <w:rtl w:val="1"/>
        </w:rPr>
        <w:t>মধ্যে</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মহান</w:t>
      </w:r>
      <w:r>
        <w:rPr>
          <w:rFonts w:ascii="Segoe UI" w:hAnsi="Segoe UI" w:eastAsia="Segoe UI" w:cs="Segoe UI"/>
          <w:rtl w:val="1"/>
        </w:rPr>
        <w:t xml:space="preserve"> </w:t>
      </w:r>
      <w:r>
        <w:rPr>
          <w:rFonts w:ascii="Nirmala UI" w:hAnsi="Nirmala UI" w:eastAsia="Nirmala UI" w:cs="Nirmala UI"/>
          <w:rtl w:val="1"/>
        </w:rPr>
        <w:t>কাজ</w:t>
      </w:r>
      <w:r>
        <w:rPr>
          <w:rFonts w:ascii="Segoe UI" w:hAnsi="Segoe UI" w:eastAsia="Segoe UI" w:cs="Segoe UI"/>
          <w:rtl w:val="1"/>
        </w:rPr>
        <w:t xml:space="preserve"> </w:t>
      </w:r>
      <w:r>
        <w:rPr>
          <w:rFonts w:ascii="Nirmala UI" w:hAnsi="Nirmala UI" w:eastAsia="Nirmala UI" w:cs="Nirmala UI"/>
          <w:rtl w:val="1"/>
        </w:rPr>
        <w:t>সম্পন্ন</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শীঘ্রই</w:t>
      </w:r>
      <w:r>
        <w:rPr>
          <w:rFonts w:ascii="Segoe UI" w:hAnsi="Segoe UI" w:eastAsia="Segoe UI" w:cs="Segoe UI"/>
          <w:rtl w:val="1"/>
        </w:rPr>
        <w:t xml:space="preserve"> </w:t>
      </w:r>
      <w:r>
        <w:rPr>
          <w:rFonts w:ascii="Nirmala UI" w:hAnsi="Nirmala UI" w:eastAsia="Nirmala UI" w:cs="Nirmala UI"/>
          <w:rtl w:val="1"/>
        </w:rPr>
        <w:t>ঈশ্বর</w:t>
      </w:r>
      <w:r>
        <w:rPr>
          <w:rFonts w:ascii="Segoe UI" w:hAnsi="Segoe UI" w:eastAsia="Segoe UI" w:cs="Segoe UI"/>
          <w:rtl w:val="1"/>
        </w:rPr>
        <w:t>-</w:t>
      </w:r>
      <w:r>
        <w:rPr>
          <w:rFonts w:ascii="Nirmala UI" w:hAnsi="Nirmala UI" w:eastAsia="Nirmala UI" w:cs="Nirmala UI"/>
          <w:rtl w:val="1"/>
        </w:rPr>
        <w:t>নির্ধারিত</w:t>
      </w:r>
      <w:r>
        <w:rPr>
          <w:rFonts w:ascii="Segoe UI" w:hAnsi="Segoe UI" w:eastAsia="Segoe UI" w:cs="Segoe UI"/>
          <w:rtl w:val="1"/>
        </w:rPr>
        <w:t xml:space="preserve"> </w:t>
      </w:r>
      <w:r>
        <w:rPr>
          <w:rFonts w:ascii="Nirmala UI" w:hAnsi="Nirmala UI" w:eastAsia="Nirmala UI" w:cs="Nirmala UI"/>
          <w:rtl w:val="1"/>
        </w:rPr>
        <w:t>একটি</w:t>
      </w:r>
      <w:r>
        <w:rPr>
          <w:rFonts w:ascii="Segoe UI" w:hAnsi="Segoe UI" w:eastAsia="Segoe UI" w:cs="Segoe UI"/>
          <w:rtl w:val="1"/>
        </w:rPr>
        <w:t xml:space="preserve"> </w:t>
      </w:r>
      <w:r>
        <w:rPr>
          <w:rFonts w:ascii="Nirmala UI" w:hAnsi="Nirmala UI" w:eastAsia="Nirmala UI" w:cs="Nirmala UI"/>
          <w:rtl w:val="1"/>
        </w:rPr>
        <w:t>পয়গাম</w:t>
      </w:r>
      <w:r>
        <w:rPr>
          <w:rFonts w:ascii="Segoe UI" w:hAnsi="Segoe UI" w:eastAsia="Segoe UI" w:cs="Segoe UI"/>
          <w:rtl w:val="1"/>
        </w:rPr>
        <w:t xml:space="preserve"> </w:t>
      </w:r>
      <w:r>
        <w:rPr>
          <w:rFonts w:ascii="Nirmala UI" w:hAnsi="Nirmala UI" w:eastAsia="Nirmala UI" w:cs="Nirmala UI"/>
          <w:rtl w:val="1"/>
        </w:rPr>
        <w:t>প্রদান</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যা</w:t>
      </w:r>
      <w:r>
        <w:rPr>
          <w:rFonts w:ascii="Segoe UI" w:hAnsi="Segoe UI" w:eastAsia="Segoe UI" w:cs="Segoe UI"/>
          <w:rtl w:val="1"/>
        </w:rPr>
        <w:t xml:space="preserve"> </w:t>
      </w:r>
      <w:r>
        <w:rPr>
          <w:rFonts w:ascii="Nirmala UI" w:hAnsi="Nirmala UI" w:eastAsia="Nirmala UI" w:cs="Nirmala UI"/>
          <w:rtl w:val="1"/>
        </w:rPr>
        <w:t>ক্রমে</w:t>
      </w:r>
      <w:r>
        <w:rPr>
          <w:rFonts w:ascii="Segoe UI" w:hAnsi="Segoe UI" w:eastAsia="Segoe UI" w:cs="Segoe UI"/>
          <w:rtl w:val="1"/>
        </w:rPr>
        <w:t xml:space="preserve"> </w:t>
      </w: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উচ্চধ্বনিময়</w:t>
      </w:r>
      <w:r>
        <w:rPr>
          <w:rFonts w:ascii="Segoe UI" w:hAnsi="Segoe UI" w:eastAsia="Segoe UI" w:cs="Segoe UI"/>
          <w:rtl w:val="1"/>
        </w:rPr>
        <w:t xml:space="preserve"> </w:t>
      </w:r>
      <w:r>
        <w:rPr>
          <w:rFonts w:ascii="Nirmala UI" w:hAnsi="Nirmala UI" w:eastAsia="Nirmala UI" w:cs="Nirmala UI"/>
          <w:rtl w:val="1"/>
        </w:rPr>
        <w:t>আহ্বানে</w:t>
      </w:r>
      <w:r>
        <w:rPr>
          <w:rFonts w:ascii="Segoe UI" w:hAnsi="Segoe UI" w:eastAsia="Segoe UI" w:cs="Segoe UI"/>
          <w:rtl w:val="1"/>
        </w:rPr>
        <w:t xml:space="preserve"> </w:t>
      </w:r>
      <w:r>
        <w:rPr>
          <w:rFonts w:ascii="Nirmala UI" w:hAnsi="Nirmala UI" w:eastAsia="Nirmala UI" w:cs="Nirmala UI"/>
          <w:rtl w:val="1"/>
        </w:rPr>
        <w:t>পরিণত</w:t>
      </w:r>
      <w:r>
        <w:rPr>
          <w:rFonts w:ascii="Segoe UI" w:hAnsi="Segoe UI" w:eastAsia="Segoe UI" w:cs="Segoe UI"/>
          <w:rtl w:val="1"/>
        </w:rPr>
        <w:t xml:space="preserve"> </w:t>
      </w:r>
      <w:r>
        <w:rPr>
          <w:rFonts w:ascii="Nirmala UI" w:hAnsi="Nirmala UI" w:eastAsia="Nirmala UI" w:cs="Nirmala UI"/>
          <w:rtl w:val="1"/>
        </w:rPr>
        <w:t>হবে।</w:t>
      </w:r>
      <w:r>
        <w:rPr>
          <w:rFonts w:ascii="Segoe UI" w:hAnsi="Segoe UI" w:eastAsia="Segoe UI" w:cs="Segoe UI"/>
          <w:rtl w:val="1"/>
        </w:rPr>
        <w:t xml:space="preserve"> </w:t>
      </w:r>
      <w:r>
        <w:rPr>
          <w:rFonts w:ascii="Nirmala UI" w:hAnsi="Nirmala UI" w:eastAsia="Nirmala UI" w:cs="Nirmala UI"/>
          <w:rtl w:val="1"/>
        </w:rPr>
        <w:t>তখন</w:t>
      </w:r>
      <w:r>
        <w:rPr>
          <w:rFonts w:ascii="Segoe UI" w:hAnsi="Segoe UI" w:eastAsia="Segoe UI" w:cs="Segoe UI"/>
          <w:rtl w:val="1"/>
        </w:rPr>
        <w:t xml:space="preserve"> </w:t>
      </w:r>
      <w:r>
        <w:rPr>
          <w:rFonts w:ascii="Nirmala UI" w:hAnsi="Nirmala UI" w:eastAsia="Nirmala UI" w:cs="Nirmala UI"/>
          <w:rtl w:val="1"/>
        </w:rPr>
        <w:t>দানিয়েল</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নির্ধারিত</w:t>
      </w:r>
      <w:r>
        <w:rPr>
          <w:rFonts w:ascii="Segoe UI" w:hAnsi="Segoe UI" w:eastAsia="Segoe UI" w:cs="Segoe UI"/>
          <w:rtl w:val="1"/>
        </w:rPr>
        <w:t xml:space="preserve"> </w:t>
      </w:r>
      <w:r>
        <w:rPr>
          <w:rFonts w:ascii="Nirmala UI" w:hAnsi="Nirmala UI" w:eastAsia="Nirmala UI" w:cs="Nirmala UI"/>
          <w:rtl w:val="1"/>
        </w:rPr>
        <w:t>অংশে</w:t>
      </w:r>
      <w:r>
        <w:rPr>
          <w:rFonts w:ascii="Segoe UI" w:hAnsi="Segoe UI" w:eastAsia="Segoe UI" w:cs="Segoe UI"/>
          <w:rtl w:val="1"/>
        </w:rPr>
        <w:t xml:space="preserve"> </w:t>
      </w:r>
      <w:r>
        <w:rPr>
          <w:rFonts w:ascii="Nirmala UI" w:hAnsi="Nirmala UI" w:eastAsia="Nirmala UI" w:cs="Nirmala UI"/>
          <w:rtl w:val="1"/>
        </w:rPr>
        <w:t>দাঁড়াবে</w:t>
      </w:r>
      <w:r>
        <w:rPr>
          <w:rFonts w:ascii="Segoe UI" w:hAnsi="Segoe UI" w:eastAsia="Segoe UI" w:cs="Segoe UI"/>
          <w:rtl w:val="1"/>
        </w:rPr>
        <w:t xml:space="preserve">, </w:t>
      </w:r>
      <w:r>
        <w:rPr>
          <w:rFonts w:ascii="Nirmala UI" w:hAnsi="Nirmala UI" w:eastAsia="Nirmala UI" w:cs="Nirmala UI"/>
          <w:rtl w:val="1"/>
        </w:rPr>
        <w:t>তার</w:t>
      </w:r>
      <w:r>
        <w:rPr>
          <w:rFonts w:ascii="Segoe UI" w:hAnsi="Segoe UI" w:eastAsia="Segoe UI" w:cs="Segoe UI"/>
          <w:rtl w:val="1"/>
        </w:rPr>
        <w:t xml:space="preserve"> </w:t>
      </w:r>
      <w:r>
        <w:rPr>
          <w:rFonts w:ascii="Nirmala UI" w:hAnsi="Nirmala UI" w:eastAsia="Nirmala UI" w:cs="Nirmala UI"/>
          <w:rtl w:val="1"/>
        </w:rPr>
        <w:t>সাক্ষ্য</w:t>
      </w:r>
      <w:r>
        <w:rPr>
          <w:rFonts w:ascii="Segoe UI" w:hAnsi="Segoe UI" w:eastAsia="Segoe UI" w:cs="Segoe UI"/>
          <w:rtl w:val="1"/>
        </w:rPr>
        <w:t xml:space="preserve"> </w:t>
      </w:r>
      <w:r>
        <w:rPr>
          <w:rFonts w:ascii="Nirmala UI" w:hAnsi="Nirmala UI" w:eastAsia="Nirmala UI" w:cs="Nirmala UI"/>
          <w:rtl w:val="1"/>
        </w:rPr>
        <w:t>প্রদান</w:t>
      </w:r>
      <w:r>
        <w:rPr>
          <w:rFonts w:ascii="Segoe UI" w:hAnsi="Segoe UI" w:eastAsia="Segoe UI" w:cs="Segoe UI"/>
          <w:rtl w:val="1"/>
        </w:rPr>
        <w:t xml:space="preserve"> </w:t>
      </w:r>
      <w:r>
        <w:rPr>
          <w:rFonts w:ascii="Nirmala UI" w:hAnsi="Nirmala UI" w:eastAsia="Nirmala UI" w:cs="Nirmala UI"/>
          <w:rtl w:val="1"/>
        </w:rPr>
        <w:t>করার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Manuscript Releases, </w:t>
      </w:r>
      <w:r>
        <w:rPr>
          <w:rFonts w:ascii="Nirmala UI" w:hAnsi="Nirmala UI" w:eastAsia="Nirmala UI" w:cs="Nirmala UI"/>
          <w:rtl w:val="1"/>
        </w:rPr>
        <w:t>খণ্ড</w:t>
      </w:r>
      <w:r>
        <w:rPr>
          <w:rFonts w:ascii="Segoe UI" w:hAnsi="Segoe UI" w:eastAsia="Segoe UI" w:cs="Segoe UI"/>
          <w:rtl w:val="1"/>
        </w:rPr>
        <w:t xml:space="preserve"> ২১, ৪৩৭</w:t>
      </w:r>
      <w:r>
        <w:rPr>
          <w:rFonts w:ascii="Nirmala UI" w:hAnsi="Nirmala UI" w:eastAsia="Nirmala UI" w:cs="Nirmala UI"/>
          <w:rtl w:val="1"/>
        </w:rPr>
        <w:t>।</w:t>
      </w:r>
    </w:p>
    <w:p>
      <w:pPr>
        <w:pStyle w:val="ArticleBody"/>
        <w:jc w:val="right"/>
        <w:bidi w:val="1"/>
      </w:pPr>
      <w:r>
        <w:rPr>
          <w:rFonts w:ascii="Segoe UI" w:hAnsi="Segoe UI" w:eastAsia="Segoe UI" w:cs="Segoe UI"/>
          <w:rtl w:val="1"/>
        </w:rPr>
        <w:t>پس آغاز نبوتِ هزار و سیصد و سی و پنج‌ساله، گذار از دینِ بت‌پرستی به دینِ پاپ‌گرایی را مشخص می‌سازد، و بدین‌سان گذار از پروتستانتیسم به پروتستانتیسمِ میلری را نیز معین می‌کند.</w:t>
      </w:r>
    </w:p>
    <w:p>
      <w:pPr>
        <w:pStyle w:val="ArticleBody"/>
        <w:jc w:val="right"/>
        <w:bidi w:val="1"/>
      </w:pPr>
      <w:r>
        <w:rPr>
          <w:rFonts w:ascii="Segoe UI" w:hAnsi="Segoe UI" w:eastAsia="Segoe UI" w:cs="Segoe UI"/>
          <w:rtl w:val="1"/>
        </w:rPr>
        <w:t>آن ادونتیست‌هایی که حقایق بنیانی ادونتیسم را رد می‌کنند، همهٔ نبوت‌های زمانی‌ای را که میلری‌ها ارائه کردند، رد می‌نمایند، حتی دو هزار و سیصد سالِ دانیال ۸:۱۴ را. آنان ممکن است به‌آسانی این واقعیت را انکار کنند، اما می‌توان به‌طور منطقی نشان داد که این واقعیت درست است؛ ولی مقصود من اکنون چیز دیگری است، پس فعلاً از آن صرف‌نظر می‌کنم تا در حالی که می‌کوشیم این مقاله را به نتیجه برسانیم، آن را به پایان ببریم.</w:t>
      </w:r>
    </w:p>
    <w:p>
      <w:pPr>
        <w:pStyle w:val="ArticleBody"/>
        <w:jc w:val="right"/>
        <w:bidi w:val="1"/>
      </w:pPr>
      <w:r>
        <w:rPr>
          <w:rFonts w:ascii="Segoe UI" w:hAnsi="Segoe UI" w:eastAsia="Segoe UI" w:cs="Segoe UI"/>
          <w:rtl w:val="1"/>
        </w:rPr>
        <w:t>پراکندگیِ «سرزمینِ جلال» یهودا در سال ۶۷۷ پیش از میلاد، نمایانگر پایمال شدنِ «لشکر» در دانیال ۸:۱۳، ۱۴ است و به برپاییِ سرزمینِ جلالِ جدید، یعنی ایالات متحده، اشاره دارد. دو هزار و سیصد سالِ مذکور در همان آیات، در سال ۴۵۷ پیش از میلاد آغاز شد و نمایانگر پایمال شدنِ «قُدس» است.</w:t>
      </w:r>
    </w:p>
    <w:p>
      <w:pPr>
        <w:pStyle w:val="ArticleScripture"/>
        <w:jc w:val="right"/>
        <w:bidi w:val="1"/>
      </w:pPr>
      <w:r>
        <w:rPr>
          <w:rFonts w:ascii="Segoe UI" w:hAnsi="Segoe UI" w:eastAsia="Segoe UI" w:cs="Segoe UI"/>
          <w:rtl w:val="1"/>
        </w:rPr>
        <w:t>پھر میں نے ایک قدوس کو کلام کرتے سنا، اور ایک دوسرے قدوس نے اُس مخصوص قدوس سے جو کلام کر رہا تھا کہا، روزانہ قربانی اور ویرانی پیدا کرنے والی سرکشی کے بارے میں یہ رُویا کب تک رہے گی، کہ مقدِس اور لشکر دونوں پاؤں تلے روندے جائیں؟ اور اُس نے مجھ سے کہا، دو ہزار تین سو دنوں تک؛ پھر مقدِس پاک کیا جائے گا۔ دانی ایل 8:13، 14۔</w:t>
      </w:r>
    </w:p>
    <w:p>
      <w:pPr>
        <w:pStyle w:val="ArticleBody"/>
        <w:jc w:val="right"/>
        <w:bidi w:val="1"/>
      </w:pPr>
      <w:r>
        <w:rPr>
          <w:rFonts w:ascii="Segoe UI" w:hAnsi="Segoe UI" w:eastAsia="Segoe UI" w:cs="Segoe UI"/>
          <w:rtl w:val="1"/>
        </w:rPr>
        <w:t>677 ق.م. و457 ق.م. هما تاريخان يرتبطان بعلاقة شعب الله بمقدس الله. لقد جمع الله الجند والمقدس معًا من جديد في الوقت نفسه في 22 أكتوبر 1844. إن المئتين والعشرين سنة الواقعة بين 677 ق.م. و457 ق.م. ترمز إلى فترة يُقيم فيها الله معلمًا نبويًا يمثّل ازديادًا في النور. وفي 22 أكتوبر 1844 جاء نور الملاك الثالث، وبدأ نور المقدس يشرق، وكان هناك جند ليكرزوا بالنور.</w:t>
      </w:r>
    </w:p>
    <w:p>
      <w:pPr>
        <w:pStyle w:val="ArticleBody"/>
        <w:jc w:val="right"/>
        <w:bidi w:val="1"/>
      </w:pPr>
      <w:r>
        <w:rPr>
          <w:rFonts w:ascii="Segoe UI" w:hAnsi="Segoe UI" w:eastAsia="Segoe UI" w:cs="Segoe UI"/>
          <w:rtl w:val="1"/>
        </w:rPr>
        <w:t>در خطّ نبوی‌ای که جنگ سه‌گانه‌ای را که شیطان و مسیح در آن درگیر شدند مشخص می‌سازد، کتاب‌مقدس نسخهٔ کینگ جیمزِ سال 1611 پدید آمد. دقیقاً دویست و بیست سال بعد، در سال 1831، ویلیام میلر برای نخستین بار پیام خود را منتشر کرد:</w:t>
      </w:r>
    </w:p>
    <w:p>
      <w:pPr>
        <w:pStyle w:val="ArticleScripture"/>
        <w:jc w:val="right"/>
        <w:bidi w:val="1"/>
      </w:pPr>
      <w:r>
        <w:rPr>
          <w:rFonts w:ascii="Segoe UI" w:hAnsi="Segoe UI" w:eastAsia="Segoe UI" w:cs="Segoe UI"/>
          <w:rtl w:val="1"/>
        </w:rPr>
        <w:t>«به‌مدت نه سال، ویلیام میلر متقاعد بود که باید پیام خود را به کلیساها برساند؛ اما درنگ کرد، به این امید که مرجعی شناخته‌شده، بشارتِ نجات‌دهنده‌ای را که به‌زودی می‌آید اعلام کند. او با این انتظار، تنها درستیِ آن پیام را ثابت کرد؛ ایشان نامی داشتند که زنده‌اند، اما به‌شتاب در حال مردن بودند. در سال ۱۸۳۱، میلر نخستین گفتار خود را دربارهٔ نبوت‌ها ایراد کرد.» Steven Haskell, The Seer of Patmos, 77.</w:t>
      </w:r>
    </w:p>
    <w:p>
      <w:pPr>
        <w:pStyle w:val="ArticleBody"/>
        <w:jc w:val="right"/>
        <w:bidi w:val="1"/>
      </w:pPr>
      <w:r>
        <w:rPr>
          <w:rFonts w:ascii="Segoe UI" w:hAnsi="Segoe UI" w:eastAsia="Segoe UI" w:cs="Segoe UI"/>
          <w:rtl w:val="1"/>
        </w:rPr>
        <w:t>خدا از متون اصلیِ مقدس و صحیحی که برای پدید آوردن کتاب‌مقدس به‌کار رفتند، محافظت کرد. سپس او کتاب‌مقدسِ خود را در سال 1611 پدید آورد. آنگاه قاصدی را برانگیخت که قواعدِ موجود، مستخرج و تثبیت‌شده در درون کتاب‌مقدس را به کار گیرد تا پیامِ فرشتهٔ اول را پدید آورد. در سال 1831، پیامِ میلر صورت‌بندی شد، همان‌گونه که پیام در تاریخِ مسیح به‌وسیلهٔ یحیای تعمیددهنده صورت‌بندی شده بود، چنان‌که این پیام در هر جنبشِ اصلاحی صورت‌بندی شده است. پیامِ میلر، یعنی پیامِ فرشتهٔ اول که گشایشِ داوری را اعلام می‌کند، به‌طور مستقیم به‌وسیلهٔ اِعمالِ دورهٔ زمانیِ نبویِ دویست و بیست سال تأیید می‌شود. این پیامِ هشدار در آغازِ ششمین پادشاهیِ نبوتِ کتاب‌مقدس—ایالات متحده—بود.</w:t>
      </w:r>
    </w:p>
    <w:p>
      <w:pPr>
        <w:pStyle w:val="ArticleBody"/>
        <w:jc w:val="right"/>
        <w:bidi w:val="1"/>
      </w:pPr>
      <w:r>
        <w:rPr>
          <w:rFonts w:ascii="Segoe UI" w:hAnsi="Segoe UI" w:eastAsia="Segoe UI" w:cs="Segoe UI"/>
          <w:rtl w:val="1"/>
        </w:rPr>
        <w:t>در سال ۱۹۹۶، خدمتِ «آینده برای آمریکا» آغاز شد، و پیامِ فرشتهٔ سوم که در سال ۱۹۸۹ مُهرگشایی شده بود—پیامی که شفای زخمِ مهلکِ پاپیّت و قانون یکشنبه‌ایِ قریب‌الوقوع را شناسایی می‌کرد—در مجله‌ای با عنوانِ «زمانِ آخر» منتشر گردید. پیام در پایانِ ادونتیسم، همان‌گونه که پیام در آغاز رسمی شده بود، صورت‌بندی رسمی یافت. در آغاز، پیام بر زمان استوار شده بود و نمایانگرِ بسطِ بیشترِ حقایقِ مندرج در کلامِ خدا بود. در سال ۱۹۹۶، دویست و بیست سال پس از تولدِ ایالات متحده در سال ۱۷۷۶، پیام در پایانِ ادونتیسم صورت‌بندی رسمی یافت و نمایانگرِ بسطِ بیشترِ پیام‌های سه فرشته بود.</w:t>
      </w:r>
    </w:p>
    <w:p>
      <w:pPr>
        <w:pStyle w:val="ArticleBody"/>
        <w:jc w:val="right"/>
        <w:bidi w:val="1"/>
      </w:pPr>
      <w:r>
        <w:rPr>
          <w:rFonts w:ascii="Segoe UI" w:hAnsi="Segoe UI" w:eastAsia="Segoe UI" w:cs="Segoe UI"/>
          <w:rtl w:val="1"/>
        </w:rPr>
        <w:t>چنان‌که به تاریخِ موازیِ شاخِ جمهوری‌خواه و شاخِ پروتستان در تاریخِ پادشاهیِ ششمِ نبوتِ کتاب‌مقدس می‌پردازیم، باید به‌روشنی دانسته شود که شاخِ پروتستان کیست و چه کسی نیست.</w:t>
      </w:r>
    </w:p>
    <w:p>
      <w:pPr>
        <w:pStyle w:val="ArticleScripture"/>
        <w:jc w:val="right"/>
        <w:bidi w:val="1"/>
      </w:pPr>
      <w:r>
        <w:rPr>
          <w:rFonts w:ascii="Segoe UI" w:hAnsi="Segoe UI" w:eastAsia="Segoe UI" w:cs="Segoe UI"/>
          <w:rtl w:val="1"/>
        </w:rPr>
        <w:t>کوشش کن که خویشتن را مقبولِ خدا سازی، همچون کارگری که از چیزی شرمنده نمی‌گردد و کلامِ حق را به‌درستی تقسیم می‌کند. امّا از یاوه‌گویی‌های بی‌حرمت و باطل دوری کن، زیرا آنها به بی‌دینیِ بیشتر خواهد انجامید. 2 Timothy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لائودیکیا - شمارهٔ دو</dc:title>
  <dc:subject>شاخ پروتستانی</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