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w:t>
      </w:r>
    </w:p>
    <w:p>
      <w:pPr>
        <w:pStyle w:val="ArticleSubtitle"/>
        <w:jc w:val="left"/>
      </w:pPr>
      <w:r>
        <w:rPr>
          <w:rFonts w:ascii="Arial" w:hAnsi="Arial" w:eastAsia="Arial" w:cs="Arial"/>
        </w:rPr>
        <w:t>Demascarea simbolismului profetic: o analiză cuprinzătoare a celor șapte trâmbițe din Apocalipsa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Nirmala UI" w:hAnsi="Nirmala UI" w:eastAsia="Nirmala UI" w:cs="Nirmala UI"/>
        </w:rPr>
        <w:t>विलियम</w:t>
      </w:r>
      <w:r>
        <w:rPr>
          <w:rFonts w:ascii="Times New Roman" w:hAnsi="Times New Roman" w:eastAsia="Times New Roman" w:cs="Times New Roman"/>
        </w:rPr>
        <w:t xml:space="preserve"> </w:t>
      </w:r>
      <w:r>
        <w:rPr>
          <w:rFonts w:ascii="Nirmala UI" w:hAnsi="Nirmala UI" w:eastAsia="Nirmala UI" w:cs="Nirmala UI"/>
        </w:rPr>
        <w:t>मिलरलाई</w:t>
      </w:r>
      <w:r>
        <w:rPr>
          <w:rFonts w:ascii="Times New Roman" w:hAnsi="Times New Roman" w:eastAsia="Times New Roman" w:cs="Times New Roman"/>
        </w:rPr>
        <w:t xml:space="preserve"> </w:t>
      </w:r>
      <w:r>
        <w:rPr>
          <w:rFonts w:ascii="Nirmala UI" w:hAnsi="Nirmala UI" w:eastAsia="Nirmala UI" w:cs="Nirmala UI"/>
        </w:rPr>
        <w:t>प्रकाशको</w:t>
      </w:r>
      <w:r>
        <w:rPr>
          <w:rFonts w:ascii="Times New Roman" w:hAnsi="Times New Roman" w:eastAsia="Times New Roman" w:cs="Times New Roman"/>
        </w:rPr>
        <w:t xml:space="preserve"> </w:t>
      </w:r>
      <w:r>
        <w:rPr>
          <w:rFonts w:ascii="Nirmala UI" w:hAnsi="Nirmala UI" w:eastAsia="Nirmala UI" w:cs="Nirmala UI"/>
        </w:rPr>
        <w:t>पुस्तकमा</w:t>
      </w:r>
      <w:r>
        <w:rPr>
          <w:rFonts w:ascii="Times New Roman" w:hAnsi="Times New Roman" w:eastAsia="Times New Roman" w:cs="Times New Roman"/>
        </w:rPr>
        <w:t xml:space="preserve"> </w:t>
      </w:r>
      <w:r>
        <w:rPr>
          <w:rFonts w:ascii="Nirmala UI" w:hAnsi="Nirmala UI" w:eastAsia="Nirmala UI" w:cs="Nirmala UI"/>
        </w:rPr>
        <w:t>उल्लिखित</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मण्डलीहरू</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मोहोरहरू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तुरहीहरूमाथि</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प्रदान</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प्रतीकहरूलाई</w:t>
      </w:r>
      <w:r>
        <w:rPr>
          <w:rFonts w:ascii="Times New Roman" w:hAnsi="Times New Roman" w:eastAsia="Times New Roman" w:cs="Times New Roman"/>
        </w:rPr>
        <w:t xml:space="preserve"> </w:t>
      </w:r>
      <w:r>
        <w:rPr>
          <w:rFonts w:ascii="Nirmala UI" w:hAnsi="Nirmala UI" w:eastAsia="Nirmala UI" w:cs="Nirmala UI"/>
        </w:rPr>
        <w:t>पगानवादपछि</w:t>
      </w:r>
      <w:r>
        <w:rPr>
          <w:rFonts w:ascii="Times New Roman" w:hAnsi="Times New Roman" w:eastAsia="Times New Roman" w:cs="Times New Roman"/>
        </w:rPr>
        <w:t xml:space="preserve"> </w:t>
      </w:r>
      <w:r>
        <w:rPr>
          <w:rFonts w:ascii="Nirmala UI" w:hAnsi="Nirmala UI" w:eastAsia="Nirmala UI" w:cs="Nirmala UI"/>
        </w:rPr>
        <w:t>पोपवाद</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उजाड</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शक्तिहरूको</w:t>
      </w:r>
      <w:r>
        <w:rPr>
          <w:rFonts w:ascii="Times New Roman" w:hAnsi="Times New Roman" w:eastAsia="Times New Roman" w:cs="Times New Roman"/>
        </w:rPr>
        <w:t xml:space="preserve"> </w:t>
      </w:r>
      <w:r>
        <w:rPr>
          <w:rFonts w:ascii="Nirmala UI" w:hAnsi="Nirmala UI" w:eastAsia="Nirmala UI" w:cs="Nirmala UI"/>
        </w:rPr>
        <w:t>रूपरेखाभित्र</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प्रतीकहरूको</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विशेषता</w:t>
      </w:r>
      <w:r>
        <w:rPr>
          <w:rFonts w:ascii="Times New Roman" w:hAnsi="Times New Roman" w:eastAsia="Times New Roman" w:cs="Times New Roman"/>
        </w:rPr>
        <w:t xml:space="preserve"> </w:t>
      </w:r>
      <w:r>
        <w:rPr>
          <w:rFonts w:ascii="Nirmala UI" w:hAnsi="Nirmala UI" w:eastAsia="Nirmala UI" w:cs="Nirmala UI"/>
        </w:rPr>
        <w:t>देखेनन्</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त्यसले</w:t>
      </w:r>
      <w:r>
        <w:rPr>
          <w:rFonts w:ascii="Times New Roman" w:hAnsi="Times New Roman" w:eastAsia="Times New Roman" w:cs="Times New Roman"/>
        </w:rPr>
        <w:t xml:space="preserve"> </w:t>
      </w:r>
      <w:r>
        <w:rPr>
          <w:rFonts w:ascii="Nirmala UI" w:hAnsi="Nirmala UI" w:eastAsia="Nirmala UI" w:cs="Nirmala UI"/>
        </w:rPr>
        <w:t>प्रेरितहरूको</w:t>
      </w:r>
      <w:r>
        <w:rPr>
          <w:rFonts w:ascii="Times New Roman" w:hAnsi="Times New Roman" w:eastAsia="Times New Roman" w:cs="Times New Roman"/>
        </w:rPr>
        <w:t xml:space="preserve"> </w:t>
      </w:r>
      <w:r>
        <w:rPr>
          <w:rFonts w:ascii="Nirmala UI" w:hAnsi="Nirmala UI" w:eastAsia="Nirmala UI" w:cs="Nirmala UI"/>
        </w:rPr>
        <w:t>समयदेखि</w:t>
      </w:r>
      <w:r>
        <w:rPr>
          <w:rFonts w:ascii="Times New Roman" w:hAnsi="Times New Roman" w:eastAsia="Times New Roman" w:cs="Times New Roman"/>
        </w:rPr>
        <w:t xml:space="preserve"> </w:t>
      </w:r>
      <w:r>
        <w:rPr>
          <w:rFonts w:ascii="Nirmala UI" w:hAnsi="Nirmala UI" w:eastAsia="Nirmala UI" w:cs="Nirmala UI"/>
        </w:rPr>
        <w:t>संसारको</w:t>
      </w:r>
      <w:r>
        <w:rPr>
          <w:rFonts w:ascii="Times New Roman" w:hAnsi="Times New Roman" w:eastAsia="Times New Roman" w:cs="Times New Roman"/>
        </w:rPr>
        <w:t xml:space="preserve"> </w:t>
      </w:r>
      <w:r>
        <w:rPr>
          <w:rFonts w:ascii="Nirmala UI" w:hAnsi="Nirmala UI" w:eastAsia="Nirmala UI" w:cs="Nirmala UI"/>
        </w:rPr>
        <w:t>अन्त्यसम्म</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मण्डलीको</w:t>
      </w:r>
      <w:r>
        <w:rPr>
          <w:rFonts w:ascii="Times New Roman" w:hAnsi="Times New Roman" w:eastAsia="Times New Roman" w:cs="Times New Roman"/>
        </w:rPr>
        <w:t xml:space="preserve"> </w:t>
      </w:r>
      <w:r>
        <w:rPr>
          <w:rFonts w:ascii="Nirmala UI" w:hAnsi="Nirmala UI" w:eastAsia="Nirmala UI" w:cs="Nirmala UI"/>
        </w:rPr>
        <w:t>आन्तरिक</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बाह्य</w:t>
      </w:r>
      <w:r>
        <w:rPr>
          <w:rFonts w:ascii="Times New Roman" w:hAnsi="Times New Roman" w:eastAsia="Times New Roman" w:cs="Times New Roman"/>
        </w:rPr>
        <w:t xml:space="preserve"> </w:t>
      </w:r>
      <w:r>
        <w:rPr>
          <w:rFonts w:ascii="Nirmala UI" w:hAnsi="Nirmala UI" w:eastAsia="Nirmala UI" w:cs="Nirmala UI"/>
        </w:rPr>
        <w:t>इतिहाससम्बन्धी</w:t>
      </w:r>
      <w:r>
        <w:rPr>
          <w:rFonts w:ascii="Times New Roman" w:hAnsi="Times New Roman" w:eastAsia="Times New Roman" w:cs="Times New Roman"/>
        </w:rPr>
        <w:t xml:space="preserve"> </w:t>
      </w:r>
      <w:r>
        <w:rPr>
          <w:rFonts w:ascii="Nirmala UI" w:hAnsi="Nirmala UI" w:eastAsia="Nirmala UI" w:cs="Nirmala UI"/>
        </w:rPr>
        <w:t>आधारभूत</w:t>
      </w:r>
      <w:r>
        <w:rPr>
          <w:rFonts w:ascii="Times New Roman" w:hAnsi="Times New Roman" w:eastAsia="Times New Roman" w:cs="Times New Roman"/>
        </w:rPr>
        <w:t xml:space="preserve"> </w:t>
      </w:r>
      <w:r>
        <w:rPr>
          <w:rFonts w:ascii="Nirmala UI" w:hAnsi="Nirmala UI" w:eastAsia="Nirmala UI" w:cs="Nirmala UI"/>
        </w:rPr>
        <w:t>बुझाइ</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आन्तरिक</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मण्डलीहरूद्वारा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मण्डलीहरूको</w:t>
      </w:r>
      <w:r>
        <w:rPr>
          <w:rFonts w:ascii="Times New Roman" w:hAnsi="Times New Roman" w:eastAsia="Times New Roman" w:cs="Times New Roman"/>
        </w:rPr>
        <w:t xml:space="preserve"> </w:t>
      </w:r>
      <w:r>
        <w:rPr>
          <w:rFonts w:ascii="Nirmala UI" w:hAnsi="Nirmala UI" w:eastAsia="Nirmala UI" w:cs="Nirmala UI"/>
        </w:rPr>
        <w:t>बाह्य</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मोहोरहरूद्वारा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तुरहीहरू</w:t>
      </w:r>
      <w:r>
        <w:rPr>
          <w:rFonts w:ascii="Times New Roman" w:hAnsi="Times New Roman" w:eastAsia="Times New Roman" w:cs="Times New Roman"/>
        </w:rPr>
        <w:t xml:space="preserve"> </w:t>
      </w:r>
      <w:r>
        <w:rPr>
          <w:rFonts w:ascii="Nirmala UI" w:hAnsi="Nirmala UI" w:eastAsia="Nirmala UI" w:cs="Nirmala UI"/>
        </w:rPr>
        <w:t>रोममाथि</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न्यायका</w:t>
      </w:r>
      <w:r>
        <w:rPr>
          <w:rFonts w:ascii="Times New Roman" w:hAnsi="Times New Roman" w:eastAsia="Times New Roman" w:cs="Times New Roman"/>
        </w:rPr>
        <w:t xml:space="preserve"> </w:t>
      </w:r>
      <w:r>
        <w:rPr>
          <w:rFonts w:ascii="Nirmala UI" w:hAnsi="Nirmala UI" w:eastAsia="Nirmala UI" w:cs="Nirmala UI"/>
        </w:rPr>
        <w:t>प्रतीकहरू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संसारको</w:t>
      </w:r>
      <w:r>
        <w:rPr>
          <w:rFonts w:ascii="Times New Roman" w:hAnsi="Times New Roman" w:eastAsia="Times New Roman" w:cs="Times New Roman"/>
        </w:rPr>
        <w:t xml:space="preserve"> </w:t>
      </w:r>
      <w:r>
        <w:rPr>
          <w:rFonts w:ascii="Nirmala UI" w:hAnsi="Nirmala UI" w:eastAsia="Nirmala UI" w:cs="Nirmala UI"/>
        </w:rPr>
        <w:t>अन्त्यमा</w:t>
      </w:r>
      <w:r>
        <w:rPr>
          <w:rFonts w:ascii="Times New Roman" w:hAnsi="Times New Roman" w:eastAsia="Times New Roman" w:cs="Times New Roman"/>
        </w:rPr>
        <w:t xml:space="preserve"> </w:t>
      </w:r>
      <w:r>
        <w:rPr>
          <w:rFonts w:ascii="Nirmala UI" w:hAnsi="Nirmala UI" w:eastAsia="Nirmala UI" w:cs="Nirmala UI"/>
        </w:rPr>
        <w:t>रोममाथि</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न्यायलाई</w:t>
      </w:r>
      <w:r>
        <w:rPr>
          <w:rFonts w:ascii="Times New Roman" w:hAnsi="Times New Roman" w:eastAsia="Times New Roman" w:cs="Times New Roman"/>
        </w:rPr>
        <w:t xml:space="preserve"> </w:t>
      </w:r>
      <w:r>
        <w:rPr>
          <w:rFonts w:ascii="Nirmala UI" w:hAnsi="Nirmala UI" w:eastAsia="Nirmala UI" w:cs="Nirmala UI"/>
        </w:rPr>
        <w:t>पूर्वछायाङ्कित</w:t>
      </w:r>
      <w:r>
        <w:rPr>
          <w:rFonts w:ascii="Times New Roman" w:hAnsi="Times New Roman" w:eastAsia="Times New Roman" w:cs="Times New Roman"/>
        </w:rPr>
        <w:t xml:space="preserve"> </w:t>
      </w:r>
      <w:r>
        <w:rPr>
          <w:rFonts w:ascii="Nirmala UI" w:hAnsi="Nirmala UI" w:eastAsia="Nirmala UI" w:cs="Nirmala UI"/>
        </w:rPr>
        <w:t>गर्थे</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तापनि</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संसारको</w:t>
      </w:r>
      <w:r>
        <w:rPr>
          <w:rFonts w:ascii="Times New Roman" w:hAnsi="Times New Roman" w:eastAsia="Times New Roman" w:cs="Times New Roman"/>
        </w:rPr>
        <w:t xml:space="preserve"> </w:t>
      </w:r>
      <w:r>
        <w:rPr>
          <w:rFonts w:ascii="Nirmala UI" w:hAnsi="Nirmala UI" w:eastAsia="Nirmala UI" w:cs="Nirmala UI"/>
        </w:rPr>
        <w:t>अन्त्यको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त्रिविध</w:t>
      </w:r>
      <w:r>
        <w:rPr>
          <w:rFonts w:ascii="Times New Roman" w:hAnsi="Times New Roman" w:eastAsia="Times New Roman" w:cs="Times New Roman"/>
        </w:rPr>
        <w:t xml:space="preserve"> </w:t>
      </w:r>
      <w:r>
        <w:rPr>
          <w:rFonts w:ascii="Nirmala UI" w:hAnsi="Nirmala UI" w:eastAsia="Nirmala UI" w:cs="Nirmala UI"/>
        </w:rPr>
        <w:t>संघद्वारा</w:t>
      </w:r>
      <w:r>
        <w:rPr>
          <w:rFonts w:ascii="Times New Roman" w:hAnsi="Times New Roman" w:eastAsia="Times New Roman" w:cs="Times New Roman"/>
        </w:rPr>
        <w:t xml:space="preserve"> </w:t>
      </w:r>
      <w:r>
        <w:rPr>
          <w:rFonts w:ascii="Nirmala UI" w:hAnsi="Nirmala UI" w:eastAsia="Nirmala UI" w:cs="Nirmala UI"/>
        </w:rPr>
        <w:t>बनेको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देखेनन्।</w:t>
      </w:r>
    </w:p>
    <w:p>
      <w:pPr>
        <w:pStyle w:val="ArticleBody"/>
        <w:jc w:val="left"/>
      </w:pPr>
      <w:r>
        <w:rPr>
          <w:rFonts w:ascii="Times New Roman" w:hAnsi="Times New Roman" w:eastAsia="Times New Roman" w:cs="Times New Roman"/>
        </w:rPr>
        <w:t>Cartea scrisă de Uriah Smith, intitulată Daniel and Revelation, conține unele idei eronate, dar a fost identificată de Sora White drept „mâna ajutătoare a lui Dumnezeu”. Ea a arătat că aceasta trebuia să fie răspândită împreună cu The Great Controversy, Patriarchs and Prophets și The Desire of Ages. Susținerea ei puternică nu însemna că această carte se afla pe același nivel de inspirație ca și cărțile ei, ci că volumul conținea „o învățătură măreață” și fusese răspunzător pentru „aducerea multor suflete prețioase la cunoașterea adevărului”.</w:t>
      </w:r>
    </w:p>
    <w:p>
      <w:pPr>
        <w:pStyle w:val="ArticleBody"/>
        <w:jc w:val="left"/>
      </w:pPr>
      <w:r>
        <w:rPr>
          <w:rFonts w:ascii="Times New Roman" w:hAnsi="Times New Roman" w:eastAsia="Times New Roman" w:cs="Times New Roman"/>
        </w:rPr>
        <w:t>Cartea folosește logica profetică millerită, însoțită de concepte ale profeției care nu fuseseră văzute înainte de 22 octombrie 1844. Ne vom referi la pasaje din carte pe măsură ce expunem întreita aplicare a celor trei Vaiuri.</w:t>
      </w:r>
    </w:p>
    <w:p>
      <w:pPr>
        <w:pStyle w:val="ArticleBody"/>
        <w:jc w:val="left"/>
      </w:pPr>
      <w:r>
        <w:rPr>
          <w:rFonts w:ascii="Times New Roman" w:hAnsi="Times New Roman" w:eastAsia="Times New Roman" w:cs="Times New Roman"/>
        </w:rPr>
        <w:t>Miller a afirmat că „cele șapte trâmbițe sunt o istorie a șapte judecăți deosebite și grele trimise asupra pământului, sau a împărăției romane”. Primele patru trâmbițe reprezintă judecățile aduse asupra Romei păgâne, iar a cincea și a șasea trâmbiță au fost judecățile lui Dumnezeu aduse asupra Romei papale, însă Miller nu ar fi recunoscut că a șaptea trâmbiță reprezenta judecata lui Dumnezeu asupra Romei Moderne. Vorbind despre cele șapte peceți și cele șapte trâmbițe din Apocalipsa, Uriah Smith a scris:</w:t>
      </w:r>
    </w:p>
    <w:p>
      <w:pPr>
        <w:pStyle w:val="ArticleScripture"/>
        <w:jc w:val="left"/>
      </w:pPr>
      <w:r>
        <w:rPr>
          <w:rFonts w:ascii="Times New Roman" w:hAnsi="Times New Roman" w:eastAsia="Times New Roman" w:cs="Times New Roman"/>
        </w:rPr>
        <w:t>„După ce a luat cartea, Mielul începe îndată să deschidă pecețile; iar atenția apostolului este îndreptată spre scenele care se desfășoară sub fiecare pecete. Numărul șapte a fost deja remarcat ca desemnând în Scripturi deplinătatea și desăvârșirea. Prin urmare, cele șapte peceți cuprind întregul unei anumite clase de evenimente; iar ideea că ele s-ar întinde poate până în vremea lui Constantin, iar cele șapte trâmbițe ar constitui o altă serie de la acel timp mai departe, nu poate fi corectă. Trâmbițele desemnează o serie de evenimente care au loc concomitent cu evenimentele peceților, dar de un caracter cu totul diferit. O trâmbiță este un simbol al războiului; de aceea, trâmbițele desemnează mari frământări politice care urmează să aibă loc între națiuni în timpul epocii Evangheliei. Pecețile desemnează evenimente cu caracter religios și conțin istoria bisericii de la deschiderea erei creștine până la venirea lui Hristos.” Uriah Smith, Daniel and Revelation, 431.</w:t>
      </w:r>
    </w:p>
    <w:p>
      <w:pPr>
        <w:pStyle w:val="ArticleBody"/>
        <w:jc w:val="left"/>
      </w:pPr>
      <w:r>
        <w:rPr>
          <w:rFonts w:ascii="Times New Roman" w:hAnsi="Times New Roman" w:eastAsia="Times New Roman" w:cs="Times New Roman"/>
        </w:rPr>
        <w:t>O trâmbiță este un simbol al războiului și al tulburării politice. Referindu-se la versetul doi din capitolul opt al Apocalipsei, Smith afirmă:</w:t>
      </w:r>
    </w:p>
    <w:p>
      <w:pPr>
        <w:pStyle w:val="ArticleScripture"/>
        <w:jc w:val="left"/>
      </w:pPr>
      <w:r>
        <w:rPr>
          <w:rFonts w:ascii="Times New Roman" w:hAnsi="Times New Roman" w:eastAsia="Times New Roman" w:cs="Times New Roman"/>
        </w:rPr>
        <w:t>„Versetul 2. Și am văzut pe cei șapte îngeri care stăteau înaintea lui Dumnezeu; și lor li s-au dat șapte trâmbițe.”</w:t>
      </w:r>
    </w:p>
    <w:p>
      <w:pPr>
        <w:pStyle w:val="ArticleScripture"/>
        <w:jc w:val="left"/>
      </w:pPr>
      <w:r>
        <w:rPr>
          <w:rFonts w:ascii="Times New Roman" w:hAnsi="Times New Roman" w:eastAsia="Times New Roman" w:cs="Times New Roman"/>
        </w:rPr>
        <w:t>„Acest verset introduce o serie nouă și distinctă de evenimente. În peceți am avut istoria bisericii în perioada numită dispensațiunea Evangheliei. În cele șapte trâmbițe, introduse acum, avem principalele evenimente politice și războinice care urmau să aibă loc în același timp.” Uriah Smith, Daniel and Revelation, 476.</w:t>
      </w:r>
    </w:p>
    <w:p>
      <w:pPr>
        <w:pStyle w:val="ArticleBody"/>
        <w:jc w:val="left"/>
      </w:pPr>
      <w:r>
        <w:rPr>
          <w:rFonts w:ascii="Times New Roman" w:hAnsi="Times New Roman" w:eastAsia="Times New Roman" w:cs="Times New Roman"/>
        </w:rPr>
        <w:t>Pecețea a șaptea este deschisă în primele șase versete ale capitolului opt din Apocalipsa, iar pe fundalul deschiderii peceții a șaptea, șapte îngeri cu șapte trâmbițe sunt pregătiți să sune.</w:t>
      </w:r>
    </w:p>
    <w:p>
      <w:pPr>
        <w:pStyle w:val="ArticleScripture"/>
        <w:jc w:val="left"/>
      </w:pPr>
      <w:r>
        <w:rPr>
          <w:rFonts w:ascii="Times New Roman" w:hAnsi="Times New Roman" w:eastAsia="Times New Roman" w:cs="Times New Roman"/>
        </w:rPr>
        <w:t>Og da han hadde åpnet det syvende seglet, ble det stille i himmelen omkring en halv time. Og jeg så de sju englene som står for Gud; og det ble gitt dem sju basuner. Og en annen engel kom og stilte seg ved alteret med et gyllent røkelseskar; og det ble gitt ham mye røkelse, for at han skulle bære den fram sammen med alle de helliges bønner på gullalteret som står foran tronen. Og røyken av røkelsen, sammen med de helliges bønner, steg opp for Gud fra engelens hånd. Og engelen tok røkelseskaret, fylte det med ild fra alteret og kastet det på jorden; og det kom røster og tordener og lyn og jordskjelv. Og de sju englene som hadde de sju basunene, gjorde seg rede til å blåse i dem. Åpenbaringen 8:1–6.</w:t>
      </w:r>
    </w:p>
    <w:p>
      <w:pPr>
        <w:pStyle w:val="ArticleBody"/>
        <w:jc w:val="left"/>
      </w:pPr>
      <w:r>
        <w:rPr>
          <w:rFonts w:ascii="Times New Roman" w:hAnsi="Times New Roman" w:eastAsia="Times New Roman" w:cs="Times New Roman"/>
        </w:rPr>
        <w:t>Postoji proročanska anomalija koju smo prepoznavali u prethodnim člancima, ali kojoj još nismo posebno pristupili u pogledu njezina osebujnoga proročanskog fenomena. Ta se anomalija sastoji u tome da se simboli koji predstavljaju niz razdjelnica u proročanskoj povijesti svi zajedno sabiru pri završetku povijesti koju predstavljaju. Pokazali smo da četiri naraštaja laodicejskoga adventizma, predstavljena četirima gadostima iz osmog poglavlja Ezekiela, označuju određene razdjelnice, ali da se svaka od njih, kao kušnja, ponavlja u povijesti pečaćenja sto četrdeset i četiri tisuće. Ta se anomalija nalazi i u sedam truba, jer premda one predstavljaju posebne sudove nad poganskim, papinskim i suvremenim Rimom, sve se one ponovno sabiru kada izvršni sud nad suvremenim Rimom započne pri uskoro dolazećem zakonu o nedjelji.</w:t>
      </w:r>
    </w:p>
    <w:p>
      <w:pPr>
        <w:pStyle w:val="ArticleBody"/>
        <w:jc w:val="left"/>
      </w:pPr>
      <w:r>
        <w:rPr>
          <w:rFonts w:ascii="Times New Roman" w:hAnsi="Times New Roman" w:eastAsia="Times New Roman" w:cs="Times New Roman"/>
        </w:rPr>
        <w:t>Cele șapte trâmbițe au date specifice la care s-au împlinit în trecut, însă sora White îi așază, de asemenea, pe cei șapte îngeri cu șapte trâmbițe din capitolul opt al Apocalipsei în istoria legii duminicale care urmează să vină în curând.</w:t>
      </w:r>
    </w:p>
    <w:p>
      <w:pPr>
        <w:pStyle w:val="ArticleScripture"/>
        <w:jc w:val="left"/>
      </w:pPr>
      <w:r>
        <w:rPr>
          <w:rFonts w:ascii="Times New Roman" w:hAnsi="Times New Roman" w:eastAsia="Times New Roman" w:cs="Times New Roman"/>
        </w:rPr>
        <w:t>«“</w:t>
      </w:r>
      <w:r>
        <w:rPr>
          <w:rFonts w:ascii="Nirmala UI" w:hAnsi="Nirmala UI" w:eastAsia="Nirmala UI" w:cs="Nirmala UI"/>
        </w:rPr>
        <w:t>দেখিলাম</w:t>
      </w:r>
      <w:r>
        <w:rPr>
          <w:rFonts w:ascii="Times New Roman" w:hAnsi="Times New Roman" w:eastAsia="Times New Roman" w:cs="Times New Roman"/>
        </w:rPr>
        <w:t xml:space="preserve">, </w:t>
      </w:r>
      <w:r>
        <w:rPr>
          <w:rFonts w:ascii="Nirmala UI" w:hAnsi="Nirmala UI" w:eastAsia="Nirmala UI" w:cs="Nirmala UI"/>
        </w:rPr>
        <w:t>তিনি</w:t>
      </w:r>
      <w:r>
        <w:rPr>
          <w:rFonts w:ascii="Times New Roman" w:hAnsi="Times New Roman" w:eastAsia="Times New Roman" w:cs="Times New Roman"/>
        </w:rPr>
        <w:t xml:space="preserve"> </w:t>
      </w:r>
      <w:r>
        <w:rPr>
          <w:rFonts w:ascii="Nirmala UI" w:hAnsi="Nirmala UI" w:eastAsia="Nirmala UI" w:cs="Nirmala UI"/>
        </w:rPr>
        <w:t>যখন</w:t>
      </w:r>
      <w:r>
        <w:rPr>
          <w:rFonts w:ascii="Times New Roman" w:hAnsi="Times New Roman" w:eastAsia="Times New Roman" w:cs="Times New Roman"/>
        </w:rPr>
        <w:t xml:space="preserve"> </w:t>
      </w:r>
      <w:r>
        <w:rPr>
          <w:rFonts w:ascii="Nirmala UI" w:hAnsi="Nirmala UI" w:eastAsia="Nirmala UI" w:cs="Nirmala UI"/>
        </w:rPr>
        <w:t>পঞ্চম</w:t>
      </w:r>
      <w:r>
        <w:rPr>
          <w:rFonts w:ascii="Times New Roman" w:hAnsi="Times New Roman" w:eastAsia="Times New Roman" w:cs="Times New Roman"/>
        </w:rPr>
        <w:t xml:space="preserve"> </w:t>
      </w:r>
      <w:r>
        <w:rPr>
          <w:rFonts w:ascii="Nirmala UI" w:hAnsi="Nirmala UI" w:eastAsia="Nirmala UI" w:cs="Nirmala UI"/>
        </w:rPr>
        <w:t>মোহর</w:t>
      </w:r>
      <w:r>
        <w:rPr>
          <w:rFonts w:ascii="Times New Roman" w:hAnsi="Times New Roman" w:eastAsia="Times New Roman" w:cs="Times New Roman"/>
        </w:rPr>
        <w:t xml:space="preserve"> </w:t>
      </w:r>
      <w:r>
        <w:rPr>
          <w:rFonts w:ascii="Nirmala UI" w:hAnsi="Nirmala UI" w:eastAsia="Nirmala UI" w:cs="Nirmala UI"/>
        </w:rPr>
        <w:t>খুলিলেন</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বেদীর</w:t>
      </w:r>
      <w:r>
        <w:rPr>
          <w:rFonts w:ascii="Times New Roman" w:hAnsi="Times New Roman" w:eastAsia="Times New Roman" w:cs="Times New Roman"/>
        </w:rPr>
        <w:t xml:space="preserve"> </w:t>
      </w:r>
      <w:r>
        <w:rPr>
          <w:rFonts w:ascii="Nirmala UI" w:hAnsi="Nirmala UI" w:eastAsia="Nirmala UI" w:cs="Nirmala UI"/>
        </w:rPr>
        <w:t>নীচে</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সকলের</w:t>
      </w:r>
      <w:r>
        <w:rPr>
          <w:rFonts w:ascii="Times New Roman" w:hAnsi="Times New Roman" w:eastAsia="Times New Roman" w:cs="Times New Roman"/>
        </w:rPr>
        <w:t xml:space="preserve"> </w:t>
      </w:r>
      <w:r>
        <w:rPr>
          <w:rFonts w:ascii="Nirmala UI" w:hAnsi="Nirmala UI" w:eastAsia="Nirmala UI" w:cs="Nirmala UI"/>
        </w:rPr>
        <w:t>প্রাণসমূহ</w:t>
      </w:r>
      <w:r>
        <w:rPr>
          <w:rFonts w:ascii="Times New Roman" w:hAnsi="Times New Roman" w:eastAsia="Times New Roman" w:cs="Times New Roman"/>
        </w:rPr>
        <w:t xml:space="preserve">, </w:t>
      </w:r>
      <w:r>
        <w:rPr>
          <w:rFonts w:ascii="Nirmala UI" w:hAnsi="Nirmala UI" w:eastAsia="Nirmala UI" w:cs="Nirmala UI"/>
        </w:rPr>
        <w:t>যাঁহারা</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বাক্যের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সাক্ষ্য</w:t>
      </w:r>
      <w:r>
        <w:rPr>
          <w:rFonts w:ascii="Times New Roman" w:hAnsi="Times New Roman" w:eastAsia="Times New Roman" w:cs="Times New Roman"/>
        </w:rPr>
        <w:t xml:space="preserve"> </w:t>
      </w:r>
      <w:r>
        <w:rPr>
          <w:rFonts w:ascii="Nirmala UI" w:hAnsi="Nirmala UI" w:eastAsia="Nirmala UI" w:cs="Nirmala UI"/>
        </w:rPr>
        <w:t>ধারণ</w:t>
      </w:r>
      <w:r>
        <w:rPr>
          <w:rFonts w:ascii="Times New Roman" w:hAnsi="Times New Roman" w:eastAsia="Times New Roman" w:cs="Times New Roman"/>
        </w:rPr>
        <w:t xml:space="preserve"> </w:t>
      </w:r>
      <w:r>
        <w:rPr>
          <w:rFonts w:ascii="Nirmala UI" w:hAnsi="Nirmala UI" w:eastAsia="Nirmala UI" w:cs="Nirmala UI"/>
        </w:rPr>
        <w:t>করিয়াছিলেন</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নিহত</w:t>
      </w:r>
      <w:r>
        <w:rPr>
          <w:rFonts w:ascii="Times New Roman" w:hAnsi="Times New Roman" w:eastAsia="Times New Roman" w:cs="Times New Roman"/>
        </w:rPr>
        <w:t xml:space="preserve"> </w:t>
      </w:r>
      <w:r>
        <w:rPr>
          <w:rFonts w:ascii="Nirmala UI" w:hAnsi="Nirmala UI" w:eastAsia="Nirmala UI" w:cs="Nirmala UI"/>
        </w:rPr>
        <w:t>হইয়াছিলেন।</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উচ্চস্বরে</w:t>
      </w:r>
      <w:r>
        <w:rPr>
          <w:rFonts w:ascii="Times New Roman" w:hAnsi="Times New Roman" w:eastAsia="Times New Roman" w:cs="Times New Roman"/>
        </w:rPr>
        <w:t xml:space="preserve"> </w:t>
      </w:r>
      <w:r>
        <w:rPr>
          <w:rFonts w:ascii="Nirmala UI" w:hAnsi="Nirmala UI" w:eastAsia="Nirmala UI" w:cs="Nirmala UI"/>
        </w:rPr>
        <w:t>ক্রন্দন</w:t>
      </w:r>
      <w:r>
        <w:rPr>
          <w:rFonts w:ascii="Times New Roman" w:hAnsi="Times New Roman" w:eastAsia="Times New Roman" w:cs="Times New Roman"/>
        </w:rPr>
        <w:t xml:space="preserve"> </w:t>
      </w:r>
      <w:r>
        <w:rPr>
          <w:rFonts w:ascii="Nirmala UI" w:hAnsi="Nirmala UI" w:eastAsia="Nirmala UI" w:cs="Nirmala UI"/>
        </w:rPr>
        <w:t>করিয়া</w:t>
      </w:r>
      <w:r>
        <w:rPr>
          <w:rFonts w:ascii="Times New Roman" w:hAnsi="Times New Roman" w:eastAsia="Times New Roman" w:cs="Times New Roman"/>
        </w:rPr>
        <w:t xml:space="preserve"> </w:t>
      </w:r>
      <w:r>
        <w:rPr>
          <w:rFonts w:ascii="Nirmala UI" w:hAnsi="Nirmala UI" w:eastAsia="Nirmala UI" w:cs="Nirmala UI"/>
        </w:rPr>
        <w:t>বলিলেন</w:t>
      </w:r>
      <w:r>
        <w:rPr>
          <w:rFonts w:ascii="Times New Roman" w:hAnsi="Times New Roman" w:eastAsia="Times New Roman" w:cs="Times New Roman"/>
        </w:rPr>
        <w:t xml:space="preserve">, </w:t>
      </w:r>
      <w:r>
        <w:rPr>
          <w:rFonts w:ascii="Nirmala UI" w:hAnsi="Nirmala UI" w:eastAsia="Nirmala UI" w:cs="Nirmala UI"/>
        </w:rPr>
        <w:t>কতকাল</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 xml:space="preserve"> </w:t>
      </w:r>
      <w:r>
        <w:rPr>
          <w:rFonts w:ascii="Nirmala UI" w:hAnsi="Nirmala UI" w:eastAsia="Nirmala UI" w:cs="Nirmala UI"/>
        </w:rPr>
        <w:t>প্রভু</w:t>
      </w:r>
      <w:r>
        <w:rPr>
          <w:rFonts w:ascii="Times New Roman" w:hAnsi="Times New Roman" w:eastAsia="Times New Roman" w:cs="Times New Roman"/>
        </w:rPr>
        <w:t xml:space="preserve">, </w:t>
      </w:r>
      <w:r>
        <w:rPr>
          <w:rFonts w:ascii="Nirmala UI" w:hAnsi="Nirmala UI" w:eastAsia="Nirmala UI" w:cs="Nirmala UI"/>
        </w:rPr>
        <w:t>তুমি</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পবিত্র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সত্য</w:t>
      </w:r>
      <w:r>
        <w:rPr>
          <w:rFonts w:ascii="Times New Roman" w:hAnsi="Times New Roman" w:eastAsia="Times New Roman" w:cs="Times New Roman"/>
        </w:rPr>
        <w:t xml:space="preserve">, </w:t>
      </w:r>
      <w:r>
        <w:rPr>
          <w:rFonts w:ascii="Nirmala UI" w:hAnsi="Nirmala UI" w:eastAsia="Nirmala UI" w:cs="Nirmala UI"/>
        </w:rPr>
        <w:t>পৃথিবীর</w:t>
      </w:r>
      <w:r>
        <w:rPr>
          <w:rFonts w:ascii="Times New Roman" w:hAnsi="Times New Roman" w:eastAsia="Times New Roman" w:cs="Times New Roman"/>
        </w:rPr>
        <w:t xml:space="preserve"> </w:t>
      </w:r>
      <w:r>
        <w:rPr>
          <w:rFonts w:ascii="Nirmala UI" w:hAnsi="Nirmala UI" w:eastAsia="Nirmala UI" w:cs="Nirmala UI"/>
        </w:rPr>
        <w:t>অধিবাসীদের</w:t>
      </w:r>
      <w:r>
        <w:rPr>
          <w:rFonts w:ascii="Times New Roman" w:hAnsi="Times New Roman" w:eastAsia="Times New Roman" w:cs="Times New Roman"/>
        </w:rPr>
        <w:t xml:space="preserve"> </w:t>
      </w:r>
      <w:r>
        <w:rPr>
          <w:rFonts w:ascii="Nirmala UI" w:hAnsi="Nirmala UI" w:eastAsia="Nirmala UI" w:cs="Nirmala UI"/>
        </w:rPr>
        <w:t>উপরে</w:t>
      </w:r>
      <w:r>
        <w:rPr>
          <w:rFonts w:ascii="Times New Roman" w:hAnsi="Times New Roman" w:eastAsia="Times New Roman" w:cs="Times New Roman"/>
        </w:rPr>
        <w:t xml:space="preserve"> </w:t>
      </w:r>
      <w:r>
        <w:rPr>
          <w:rFonts w:ascii="Nirmala UI" w:hAnsi="Nirmala UI" w:eastAsia="Nirmala UI" w:cs="Nirmala UI"/>
        </w:rPr>
        <w:t>আমাদের</w:t>
      </w:r>
      <w:r>
        <w:rPr>
          <w:rFonts w:ascii="Times New Roman" w:hAnsi="Times New Roman" w:eastAsia="Times New Roman" w:cs="Times New Roman"/>
        </w:rPr>
        <w:t xml:space="preserve"> </w:t>
      </w:r>
      <w:r>
        <w:rPr>
          <w:rFonts w:ascii="Nirmala UI" w:hAnsi="Nirmala UI" w:eastAsia="Nirmala UI" w:cs="Nirmala UI"/>
        </w:rPr>
        <w:t>রক্তের</w:t>
      </w:r>
      <w:r>
        <w:rPr>
          <w:rFonts w:ascii="Times New Roman" w:hAnsi="Times New Roman" w:eastAsia="Times New Roman" w:cs="Times New Roman"/>
        </w:rPr>
        <w:t xml:space="preserve"> </w:t>
      </w:r>
      <w:r>
        <w:rPr>
          <w:rFonts w:ascii="Nirmala UI" w:hAnsi="Nirmala UI" w:eastAsia="Nirmala UI" w:cs="Nirmala UI"/>
        </w:rPr>
        <w:t>বিচার</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প্রতিশোধ</w:t>
      </w:r>
      <w:r>
        <w:rPr>
          <w:rFonts w:ascii="Times New Roman" w:hAnsi="Times New Roman" w:eastAsia="Times New Roman" w:cs="Times New Roman"/>
        </w:rPr>
        <w:t xml:space="preserve"> </w:t>
      </w:r>
      <w:r>
        <w:rPr>
          <w:rFonts w:ascii="Nirmala UI" w:hAnsi="Nirmala UI" w:eastAsia="Nirmala UI" w:cs="Nirmala UI"/>
        </w:rPr>
        <w:t>করিবে</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তাঁহাদের</w:t>
      </w:r>
      <w:r>
        <w:rPr>
          <w:rFonts w:ascii="Times New Roman" w:hAnsi="Times New Roman" w:eastAsia="Times New Roman" w:cs="Times New Roman"/>
        </w:rPr>
        <w:t xml:space="preserve"> </w:t>
      </w:r>
      <w:r>
        <w:rPr>
          <w:rFonts w:ascii="Nirmala UI" w:hAnsi="Nirmala UI" w:eastAsia="Nirmala UI" w:cs="Nirmala UI"/>
        </w:rPr>
        <w:t>প্রত্যেককে</w:t>
      </w:r>
      <w:r>
        <w:rPr>
          <w:rFonts w:ascii="Times New Roman" w:hAnsi="Times New Roman" w:eastAsia="Times New Roman" w:cs="Times New Roman"/>
        </w:rPr>
        <w:t xml:space="preserve"> </w:t>
      </w:r>
      <w:r>
        <w:rPr>
          <w:rFonts w:ascii="Nirmala UI" w:hAnsi="Nirmala UI" w:eastAsia="Nirmala UI" w:cs="Nirmala UI"/>
        </w:rPr>
        <w:t>শুভ্র</w:t>
      </w:r>
      <w:r>
        <w:rPr>
          <w:rFonts w:ascii="Times New Roman" w:hAnsi="Times New Roman" w:eastAsia="Times New Roman" w:cs="Times New Roman"/>
        </w:rPr>
        <w:t xml:space="preserve"> </w:t>
      </w:r>
      <w:r>
        <w:rPr>
          <w:rFonts w:ascii="Nirmala UI" w:hAnsi="Nirmala UI" w:eastAsia="Nirmala UI" w:cs="Nirmala UI"/>
        </w:rPr>
        <w:t>বস্ত্র</w:t>
      </w:r>
      <w:r>
        <w:rPr>
          <w:rFonts w:ascii="Times New Roman" w:hAnsi="Times New Roman" w:eastAsia="Times New Roman" w:cs="Times New Roman"/>
        </w:rPr>
        <w:t xml:space="preserve"> </w:t>
      </w:r>
      <w:r>
        <w:rPr>
          <w:rFonts w:ascii="Nirmala UI" w:hAnsi="Nirmala UI" w:eastAsia="Nirmala UI" w:cs="Nirmala UI"/>
        </w:rPr>
        <w:t>প্রদান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হইল</w:t>
      </w:r>
      <w:r>
        <w:rPr>
          <w:rFonts w:ascii="Times New Roman" w:hAnsi="Times New Roman" w:eastAsia="Times New Roman" w:cs="Times New Roman"/>
        </w:rPr>
        <w:t xml:space="preserve"> [</w:t>
      </w:r>
      <w:r>
        <w:rPr>
          <w:rFonts w:ascii="Nirmala UI" w:hAnsi="Nirmala UI" w:eastAsia="Nirmala UI" w:cs="Nirmala UI"/>
        </w:rPr>
        <w:t>তাঁহাদিগকে</w:t>
      </w:r>
      <w:r>
        <w:rPr>
          <w:rFonts w:ascii="Times New Roman" w:hAnsi="Times New Roman" w:eastAsia="Times New Roman" w:cs="Times New Roman"/>
        </w:rPr>
        <w:t xml:space="preserve"> </w:t>
      </w:r>
      <w:r>
        <w:rPr>
          <w:rFonts w:ascii="Nirmala UI" w:hAnsi="Nirmala UI" w:eastAsia="Nirmala UI" w:cs="Nirmala UI"/>
        </w:rPr>
        <w:t>শুচি</w:t>
      </w:r>
      <w:r>
        <w:rPr>
          <w:rFonts w:ascii="Times New Roman" w:hAnsi="Times New Roman" w:eastAsia="Times New Roman" w:cs="Times New Roman"/>
        </w:rPr>
        <w:t xml:space="preserve"> </w:t>
      </w:r>
      <w:r>
        <w:rPr>
          <w:rFonts w:ascii="Nirmala UI" w:hAnsi="Nirmala UI" w:eastAsia="Nirmala UI" w:cs="Nirmala UI"/>
        </w:rPr>
        <w:t>ও</w:t>
      </w:r>
      <w:r>
        <w:rPr>
          <w:rFonts w:ascii="Times New Roman" w:hAnsi="Times New Roman" w:eastAsia="Times New Roman" w:cs="Times New Roman"/>
        </w:rPr>
        <w:t xml:space="preserve"> </w:t>
      </w:r>
      <w:r>
        <w:rPr>
          <w:rFonts w:ascii="Nirmala UI" w:hAnsi="Nirmala UI" w:eastAsia="Nirmala UI" w:cs="Nirmala UI"/>
        </w:rPr>
        <w:t>পবিত্র</w:t>
      </w:r>
      <w:r>
        <w:rPr>
          <w:rFonts w:ascii="Times New Roman" w:hAnsi="Times New Roman" w:eastAsia="Times New Roman" w:cs="Times New Roman"/>
        </w:rPr>
        <w:t xml:space="preserve"> </w:t>
      </w:r>
      <w:r>
        <w:rPr>
          <w:rFonts w:ascii="Nirmala UI" w:hAnsi="Nirmala UI" w:eastAsia="Nirmala UI" w:cs="Nirmala UI"/>
        </w:rPr>
        <w:t>বলিয়া</w:t>
      </w:r>
      <w:r>
        <w:rPr>
          <w:rFonts w:ascii="Times New Roman" w:hAnsi="Times New Roman" w:eastAsia="Times New Roman" w:cs="Times New Roman"/>
        </w:rPr>
        <w:t xml:space="preserve"> </w:t>
      </w:r>
      <w:r>
        <w:rPr>
          <w:rFonts w:ascii="Nirmala UI" w:hAnsi="Nirmala UI" w:eastAsia="Nirmala UI" w:cs="Nirmala UI"/>
        </w:rPr>
        <w:t>ঘোষণা</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হইল</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তাঁহাদিগকে</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হইল</w:t>
      </w:r>
      <w:r>
        <w:rPr>
          <w:rFonts w:ascii="Times New Roman" w:hAnsi="Times New Roman" w:eastAsia="Times New Roman" w:cs="Times New Roman"/>
        </w:rPr>
        <w:t xml:space="preserve">, </w:t>
      </w:r>
      <w:r>
        <w:rPr>
          <w:rFonts w:ascii="Nirmala UI" w:hAnsi="Nirmala UI" w:eastAsia="Nirmala UI" w:cs="Nirmala UI"/>
        </w:rPr>
        <w:t>যেন</w:t>
      </w:r>
      <w:r>
        <w:rPr>
          <w:rFonts w:ascii="Times New Roman" w:hAnsi="Times New Roman" w:eastAsia="Times New Roman" w:cs="Times New Roman"/>
        </w:rPr>
        <w:t xml:space="preserve"> </w:t>
      </w:r>
      <w:r>
        <w:rPr>
          <w:rFonts w:ascii="Nirmala UI" w:hAnsi="Nirmala UI" w:eastAsia="Nirmala UI" w:cs="Nirmala UI"/>
        </w:rPr>
        <w:t>তাঁহারা</w:t>
      </w:r>
      <w:r>
        <w:rPr>
          <w:rFonts w:ascii="Times New Roman" w:hAnsi="Times New Roman" w:eastAsia="Times New Roman" w:cs="Times New Roman"/>
        </w:rPr>
        <w:t xml:space="preserve"> </w:t>
      </w:r>
      <w:r>
        <w:rPr>
          <w:rFonts w:ascii="Nirmala UI" w:hAnsi="Nirmala UI" w:eastAsia="Nirmala UI" w:cs="Nirmala UI"/>
        </w:rPr>
        <w:t>আর</w:t>
      </w:r>
      <w:r>
        <w:rPr>
          <w:rFonts w:ascii="Times New Roman" w:hAnsi="Times New Roman" w:eastAsia="Times New Roman" w:cs="Times New Roman"/>
        </w:rPr>
        <w:t xml:space="preserve"> </w:t>
      </w:r>
      <w:r>
        <w:rPr>
          <w:rFonts w:ascii="Nirmala UI" w:hAnsi="Nirmala UI" w:eastAsia="Nirmala UI" w:cs="Nirmala UI"/>
        </w:rPr>
        <w:t>অল্পকাল</w:t>
      </w:r>
      <w:r>
        <w:rPr>
          <w:rFonts w:ascii="Times New Roman" w:hAnsi="Times New Roman" w:eastAsia="Times New Roman" w:cs="Times New Roman"/>
        </w:rPr>
        <w:t xml:space="preserve"> </w:t>
      </w:r>
      <w:r>
        <w:rPr>
          <w:rFonts w:ascii="Nirmala UI" w:hAnsi="Nirmala UI" w:eastAsia="Nirmala UI" w:cs="Nirmala UI"/>
        </w:rPr>
        <w:t>বিশ্রাম</w:t>
      </w:r>
      <w:r>
        <w:rPr>
          <w:rFonts w:ascii="Times New Roman" w:hAnsi="Times New Roman" w:eastAsia="Times New Roman" w:cs="Times New Roman"/>
        </w:rPr>
        <w:t xml:space="preserve"> </w:t>
      </w:r>
      <w:r>
        <w:rPr>
          <w:rFonts w:ascii="Nirmala UI" w:hAnsi="Nirmala UI" w:eastAsia="Nirmala UI" w:cs="Nirmala UI"/>
        </w:rPr>
        <w:t>করেন</w:t>
      </w:r>
      <w:r>
        <w:rPr>
          <w:rFonts w:ascii="Times New Roman" w:hAnsi="Times New Roman" w:eastAsia="Times New Roman" w:cs="Times New Roman"/>
        </w:rPr>
        <w:t xml:space="preserve">, </w:t>
      </w:r>
      <w:r>
        <w:rPr>
          <w:rFonts w:ascii="Nirmala UI" w:hAnsi="Nirmala UI" w:eastAsia="Nirmala UI" w:cs="Nirmala UI"/>
        </w:rPr>
        <w:t>যতক্ষণ</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তাঁহাদের</w:t>
      </w:r>
      <w:r>
        <w:rPr>
          <w:rFonts w:ascii="Times New Roman" w:hAnsi="Times New Roman" w:eastAsia="Times New Roman" w:cs="Times New Roman"/>
        </w:rPr>
        <w:t xml:space="preserve"> </w:t>
      </w:r>
      <w:r>
        <w:rPr>
          <w:rFonts w:ascii="Nirmala UI" w:hAnsi="Nirmala UI" w:eastAsia="Nirmala UI" w:cs="Nirmala UI"/>
        </w:rPr>
        <w:t>সহদাসগণও</w:t>
      </w:r>
      <w:r>
        <w:rPr>
          <w:rFonts w:ascii="Times New Roman" w:hAnsi="Times New Roman" w:eastAsia="Times New Roman" w:cs="Times New Roman"/>
        </w:rPr>
        <w:t xml:space="preserve"> </w:t>
      </w:r>
      <w:r>
        <w:rPr>
          <w:rFonts w:ascii="Nirmala UI" w:hAnsi="Nirmala UI" w:eastAsia="Nirmala UI" w:cs="Nirmala UI"/>
        </w:rPr>
        <w:t>এবং</w:t>
      </w:r>
      <w:r>
        <w:rPr>
          <w:rFonts w:ascii="Times New Roman" w:hAnsi="Times New Roman" w:eastAsia="Times New Roman" w:cs="Times New Roman"/>
        </w:rPr>
        <w:t xml:space="preserve"> </w:t>
      </w:r>
      <w:r>
        <w:rPr>
          <w:rFonts w:ascii="Nirmala UI" w:hAnsi="Nirmala UI" w:eastAsia="Nirmala UI" w:cs="Nirmala UI"/>
        </w:rPr>
        <w:t>তাঁহাদের</w:t>
      </w:r>
      <w:r>
        <w:rPr>
          <w:rFonts w:ascii="Times New Roman" w:hAnsi="Times New Roman" w:eastAsia="Times New Roman" w:cs="Times New Roman"/>
        </w:rPr>
        <w:t xml:space="preserve"> </w:t>
      </w:r>
      <w:r>
        <w:rPr>
          <w:rFonts w:ascii="Nirmala UI" w:hAnsi="Nirmala UI" w:eastAsia="Nirmala UI" w:cs="Nirmala UI"/>
        </w:rPr>
        <w:t>ভ্রাতৃবর্গও</w:t>
      </w:r>
      <w:r>
        <w:rPr>
          <w:rFonts w:ascii="Times New Roman" w:hAnsi="Times New Roman" w:eastAsia="Times New Roman" w:cs="Times New Roman"/>
        </w:rPr>
        <w:t xml:space="preserve">, </w:t>
      </w:r>
      <w:r>
        <w:rPr>
          <w:rFonts w:ascii="Nirmala UI" w:hAnsi="Nirmala UI" w:eastAsia="Nirmala UI" w:cs="Nirmala UI"/>
        </w:rPr>
        <w:t>যাঁহারা</w:t>
      </w:r>
      <w:r>
        <w:rPr>
          <w:rFonts w:ascii="Times New Roman" w:hAnsi="Times New Roman" w:eastAsia="Times New Roman" w:cs="Times New Roman"/>
        </w:rPr>
        <w:t xml:space="preserve"> </w:t>
      </w:r>
      <w:r>
        <w:rPr>
          <w:rFonts w:ascii="Nirmala UI" w:hAnsi="Nirmala UI" w:eastAsia="Nirmala UI" w:cs="Nirmala UI"/>
        </w:rPr>
        <w:t>তাঁহাদের</w:t>
      </w:r>
      <w:r>
        <w:rPr>
          <w:rFonts w:ascii="Times New Roman" w:hAnsi="Times New Roman" w:eastAsia="Times New Roman" w:cs="Times New Roman"/>
        </w:rPr>
        <w:t xml:space="preserve"> </w:t>
      </w:r>
      <w:r>
        <w:rPr>
          <w:rFonts w:ascii="Nirmala UI" w:hAnsi="Nirmala UI" w:eastAsia="Nirmala UI" w:cs="Nirmala UI"/>
        </w:rPr>
        <w:t>ন্যায়</w:t>
      </w:r>
      <w:r>
        <w:rPr>
          <w:rFonts w:ascii="Times New Roman" w:hAnsi="Times New Roman" w:eastAsia="Times New Roman" w:cs="Times New Roman"/>
        </w:rPr>
        <w:t xml:space="preserve"> </w:t>
      </w:r>
      <w:r>
        <w:rPr>
          <w:rFonts w:ascii="Nirmala UI" w:hAnsi="Nirmala UI" w:eastAsia="Nirmala UI" w:cs="Nirmala UI"/>
        </w:rPr>
        <w:t>নিহত</w:t>
      </w:r>
      <w:r>
        <w:rPr>
          <w:rFonts w:ascii="Times New Roman" w:hAnsi="Times New Roman" w:eastAsia="Times New Roman" w:cs="Times New Roman"/>
        </w:rPr>
        <w:t xml:space="preserve"> </w:t>
      </w:r>
      <w:r>
        <w:rPr>
          <w:rFonts w:ascii="Nirmala UI" w:hAnsi="Nirmala UI" w:eastAsia="Nirmala UI" w:cs="Nirmala UI"/>
        </w:rPr>
        <w:t>হইবেন</w:t>
      </w:r>
      <w:r>
        <w:rPr>
          <w:rFonts w:ascii="Times New Roman" w:hAnsi="Times New Roman" w:eastAsia="Times New Roman" w:cs="Times New Roman"/>
        </w:rPr>
        <w:t xml:space="preserve">, </w:t>
      </w:r>
      <w:r>
        <w:rPr>
          <w:rFonts w:ascii="Nirmala UI" w:hAnsi="Nirmala UI" w:eastAsia="Nirmala UI" w:cs="Nirmala UI"/>
        </w:rPr>
        <w:t>পূর্ণসংখ্যায়</w:t>
      </w:r>
      <w:r>
        <w:rPr>
          <w:rFonts w:ascii="Times New Roman" w:hAnsi="Times New Roman" w:eastAsia="Times New Roman" w:cs="Times New Roman"/>
        </w:rPr>
        <w:t xml:space="preserve"> </w:t>
      </w:r>
      <w:r>
        <w:rPr>
          <w:rFonts w:ascii="Nirmala UI" w:hAnsi="Nirmala UI" w:eastAsia="Nirmala UI" w:cs="Nirmala UI"/>
        </w:rPr>
        <w:t>উপস্থিত</w:t>
      </w:r>
      <w:r>
        <w:rPr>
          <w:rFonts w:ascii="Times New Roman" w:hAnsi="Times New Roman" w:eastAsia="Times New Roman" w:cs="Times New Roman"/>
        </w:rPr>
        <w:t xml:space="preserve"> </w:t>
      </w:r>
      <w:r>
        <w:rPr>
          <w:rFonts w:ascii="Nirmala UI" w:hAnsi="Nirmala UI" w:eastAsia="Nirmala UI" w:cs="Nirmala UI"/>
        </w:rPr>
        <w:t>হন</w:t>
      </w:r>
      <w:r>
        <w:rPr>
          <w:rFonts w:ascii="Times New Roman" w:hAnsi="Times New Roman" w:eastAsia="Times New Roman" w:cs="Times New Roman"/>
        </w:rPr>
        <w:t>” [</w:t>
      </w:r>
      <w:r>
        <w:rPr>
          <w:rFonts w:ascii="Nirmala UI" w:hAnsi="Nirmala UI" w:eastAsia="Nirmala UI" w:cs="Nirmala UI"/>
        </w:rPr>
        <w:t>প্রকাশিত</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৬</w:t>
      </w:r>
      <w:r>
        <w:rPr>
          <w:rFonts w:ascii="Times New Roman" w:hAnsi="Times New Roman" w:eastAsia="Times New Roman" w:cs="Times New Roman"/>
        </w:rPr>
        <w:t>:</w:t>
      </w:r>
      <w:r>
        <w:rPr>
          <w:rFonts w:ascii="Nirmala UI" w:hAnsi="Nirmala UI" w:eastAsia="Nirmala UI" w:cs="Nirmala UI"/>
        </w:rPr>
        <w:t>৯</w:t>
      </w:r>
      <w:r>
        <w:rPr>
          <w:rFonts w:ascii="Times New Roman" w:hAnsi="Times New Roman" w:eastAsia="Times New Roman" w:cs="Times New Roman"/>
        </w:rPr>
        <w:t>–</w:t>
      </w:r>
      <w:r>
        <w:rPr>
          <w:rFonts w:ascii="Nirmala UI" w:hAnsi="Nirmala UI" w:eastAsia="Nirmala UI" w:cs="Nirmala UI"/>
        </w:rPr>
        <w:t>১১</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এখানে</w:t>
      </w:r>
      <w:r>
        <w:rPr>
          <w:rFonts w:ascii="Times New Roman" w:hAnsi="Times New Roman" w:eastAsia="Times New Roman" w:cs="Times New Roman"/>
        </w:rPr>
        <w:t xml:space="preserve"> </w:t>
      </w:r>
      <w:r>
        <w:rPr>
          <w:rFonts w:ascii="Nirmala UI" w:hAnsi="Nirmala UI" w:eastAsia="Nirmala UI" w:cs="Nirmala UI"/>
        </w:rPr>
        <w:t>যোহনের</w:t>
      </w:r>
      <w:r>
        <w:rPr>
          <w:rFonts w:ascii="Times New Roman" w:hAnsi="Times New Roman" w:eastAsia="Times New Roman" w:cs="Times New Roman"/>
        </w:rPr>
        <w:t xml:space="preserve"> </w:t>
      </w:r>
      <w:r>
        <w:rPr>
          <w:rFonts w:ascii="Nirmala UI" w:hAnsi="Nirmala UI" w:eastAsia="Nirmala UI" w:cs="Nirmala UI"/>
        </w:rPr>
        <w:t>নিকট</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দৃশ্যসমূহ</w:t>
      </w:r>
      <w:r>
        <w:rPr>
          <w:rFonts w:ascii="Times New Roman" w:hAnsi="Times New Roman" w:eastAsia="Times New Roman" w:cs="Times New Roman"/>
        </w:rPr>
        <w:t xml:space="preserve"> </w:t>
      </w:r>
      <w:r>
        <w:rPr>
          <w:rFonts w:ascii="Nirmala UI" w:hAnsi="Nirmala UI" w:eastAsia="Nirmala UI" w:cs="Nirmala UI"/>
        </w:rPr>
        <w:t>উপস্থিত</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হইয়াছিল</w:t>
      </w:r>
      <w:r>
        <w:rPr>
          <w:rFonts w:ascii="Times New Roman" w:hAnsi="Times New Roman" w:eastAsia="Times New Roman" w:cs="Times New Roman"/>
        </w:rPr>
        <w:t xml:space="preserve">, </w:t>
      </w:r>
      <w:r>
        <w:rPr>
          <w:rFonts w:ascii="Nirmala UI" w:hAnsi="Nirmala UI" w:eastAsia="Nirmala UI" w:cs="Nirmala UI"/>
        </w:rPr>
        <w:t>তাহা</w:t>
      </w:r>
      <w:r>
        <w:rPr>
          <w:rFonts w:ascii="Times New Roman" w:hAnsi="Times New Roman" w:eastAsia="Times New Roman" w:cs="Times New Roman"/>
        </w:rPr>
        <w:t xml:space="preserve"> </w:t>
      </w:r>
      <w:r>
        <w:rPr>
          <w:rFonts w:ascii="Nirmala UI" w:hAnsi="Nirmala UI" w:eastAsia="Nirmala UI" w:cs="Nirmala UI"/>
        </w:rPr>
        <w:t>তৎকালীন</w:t>
      </w:r>
      <w:r>
        <w:rPr>
          <w:rFonts w:ascii="Times New Roman" w:hAnsi="Times New Roman" w:eastAsia="Times New Roman" w:cs="Times New Roman"/>
        </w:rPr>
        <w:t xml:space="preserve"> </w:t>
      </w:r>
      <w:r>
        <w:rPr>
          <w:rFonts w:ascii="Nirmala UI" w:hAnsi="Nirmala UI" w:eastAsia="Nirmala UI" w:cs="Nirmala UI"/>
        </w:rPr>
        <w:t>বাস্তব</w:t>
      </w:r>
      <w:r>
        <w:rPr>
          <w:rFonts w:ascii="Times New Roman" w:hAnsi="Times New Roman" w:eastAsia="Times New Roman" w:cs="Times New Roman"/>
        </w:rPr>
        <w:t xml:space="preserve"> </w:t>
      </w:r>
      <w:r>
        <w:rPr>
          <w:rFonts w:ascii="Nirmala UI" w:hAnsi="Nirmala UI" w:eastAsia="Nirmala UI" w:cs="Nirmala UI"/>
        </w:rPr>
        <w:t>ঘটনা</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বরং</w:t>
      </w:r>
      <w:r>
        <w:rPr>
          <w:rFonts w:ascii="Times New Roman" w:hAnsi="Times New Roman" w:eastAsia="Times New Roman" w:cs="Times New Roman"/>
        </w:rPr>
        <w:t xml:space="preserve"> </w:t>
      </w:r>
      <w:r>
        <w:rPr>
          <w:rFonts w:ascii="Nirmala UI" w:hAnsi="Nirmala UI" w:eastAsia="Nirmala UI" w:cs="Nirmala UI"/>
        </w:rPr>
        <w:t>ভবিষ্যতের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নির্দিষ্ট</w:t>
      </w:r>
      <w:r>
        <w:rPr>
          <w:rFonts w:ascii="Times New Roman" w:hAnsi="Times New Roman" w:eastAsia="Times New Roman" w:cs="Times New Roman"/>
        </w:rPr>
        <w:t xml:space="preserve"> </w:t>
      </w:r>
      <w:r>
        <w:rPr>
          <w:rFonts w:ascii="Nirmala UI" w:hAnsi="Nirmala UI" w:eastAsia="Nirmala UI" w:cs="Nirmala UI"/>
        </w:rPr>
        <w:t>সময়পর্বে</w:t>
      </w:r>
      <w:r>
        <w:rPr>
          <w:rFonts w:ascii="Times New Roman" w:hAnsi="Times New Roman" w:eastAsia="Times New Roman" w:cs="Times New Roman"/>
        </w:rPr>
        <w:t xml:space="preserve"> </w:t>
      </w:r>
      <w:r>
        <w:rPr>
          <w:rFonts w:ascii="Nirmala UI" w:hAnsi="Nirmala UI" w:eastAsia="Nirmala UI" w:cs="Nirmala UI"/>
        </w:rPr>
        <w:t>যাহা</w:t>
      </w:r>
      <w:r>
        <w:rPr>
          <w:rFonts w:ascii="Times New Roman" w:hAnsi="Times New Roman" w:eastAsia="Times New Roman" w:cs="Times New Roman"/>
        </w:rPr>
        <w:t xml:space="preserve"> </w:t>
      </w:r>
      <w:r>
        <w:rPr>
          <w:rFonts w:ascii="Nirmala UI" w:hAnsi="Nirmala UI" w:eastAsia="Nirmala UI" w:cs="Nirmala UI"/>
        </w:rPr>
        <w:t>ঘটিবে</w:t>
      </w:r>
      <w:r>
        <w:rPr>
          <w:rFonts w:ascii="Times New Roman" w:hAnsi="Times New Roman" w:eastAsia="Times New Roman" w:cs="Times New Roman"/>
        </w:rPr>
        <w:t xml:space="preserve">, </w:t>
      </w:r>
      <w:r>
        <w:rPr>
          <w:rFonts w:ascii="Nirmala UI" w:hAnsi="Nirmala UI" w:eastAsia="Nirmala UI" w:cs="Nirmala UI"/>
        </w:rPr>
        <w:t>তাহাই</w:t>
      </w:r>
      <w:r>
        <w:rPr>
          <w:rFonts w:ascii="Times New Roman" w:hAnsi="Times New Roman" w:eastAsia="Times New Roman" w:cs="Times New Roman"/>
        </w:rPr>
        <w:t xml:space="preserve"> </w:t>
      </w:r>
      <w:r>
        <w:rPr>
          <w:rFonts w:ascii="Nirmala UI" w:hAnsi="Nirmala UI" w:eastAsia="Nirmala UI" w:cs="Nirmala UI"/>
        </w:rPr>
        <w:t>ছিল।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„Apocalipsa 8:1–4 citat.” Manuscript Releases, volumul 20, 197.</w:t>
      </w:r>
    </w:p>
    <w:p>
      <w:pPr>
        <w:pStyle w:val="ArticleBody"/>
        <w:jc w:val="left"/>
      </w:pPr>
      <w:r>
        <w:rPr>
          <w:rFonts w:ascii="Times New Roman" w:hAnsi="Times New Roman" w:eastAsia="Times New Roman" w:cs="Times New Roman"/>
        </w:rPr>
        <w:t>Në pasazhin e mëparshëm, Motra White e zbaton dialogun dhe përmbushjen e vulës së pestë në periudhën kur shtatë engjëjt janë gati t’u bien borive në kapitullin tetë, por ajo e vendos gjithashtu të njëjtën paraqitje në historinë e dy zërave të Zbulesës, kapitulli tetëmbëdhjetë.</w:t>
      </w:r>
    </w:p>
    <w:p>
      <w:pPr>
        <w:pStyle w:val="ArticleScripture"/>
        <w:jc w:val="left"/>
      </w:pPr>
      <w:r>
        <w:rPr>
          <w:rFonts w:ascii="Times New Roman" w:hAnsi="Times New Roman" w:eastAsia="Times New Roman" w:cs="Times New Roman"/>
        </w:rPr>
        <w:t>„Atunci când a fost deschisă pecetea a cincea, Ioan Revelatorul a văzut în viziune, sub altar, ceata celor care au fost uciși pentru Cuvântul lui Dumnezeu și pentru mărturia lui Isus Hristos. După aceasta au urmat scenele descrise în capitolul al optsprezecelea din Apocalipsa, când cei care sunt credincioși și adevărați sunt chemați să iasă din Babilon. [Apocalipsa 18:1–5, citat.]” Manuscript Releases, volumul 20, 14.</w:t>
      </w:r>
    </w:p>
    <w:p>
      <w:pPr>
        <w:pStyle w:val="ArticleBody"/>
        <w:jc w:val="left"/>
      </w:pPr>
      <w:r>
        <w:rPr>
          <w:rFonts w:ascii="Times New Roman" w:hAnsi="Times New Roman" w:eastAsia="Times New Roman" w:cs="Times New Roman"/>
        </w:rPr>
        <w:t>Cele șapte trâmbițe reprezintă judecata lui Dumnezeu în istoria Romei păgâne, papale și moderne, dar ele sunt, de asemenea, reprezentate în istoria datei de 11 septembrie 2001 și în cea de-a doua voce a legii duminicale care urmează să vină curând. După ce abordează primele șase versete din capitolul opt al Apocalipsei, Uriah Smith începe să prezinte împlinirile istorice ale primelor patru trâmbițe.</w:t>
      </w:r>
    </w:p>
    <w:p>
      <w:pPr>
        <w:pStyle w:val="ArticleScripture"/>
        <w:jc w:val="left"/>
      </w:pPr>
      <w:r>
        <w:rPr>
          <w:rFonts w:ascii="Times New Roman" w:hAnsi="Times New Roman" w:eastAsia="Times New Roman" w:cs="Times New Roman"/>
        </w:rPr>
        <w:t>„Subiectul celor șapte trâmbițe este reluat aici și ocupă restul acestui capitol și întregul capitol 9. Cei șapte îngeri se pregătesc să sune. Sunetul lor intervine ca o completare a profeției din Daniel 2 și 7, începând cu destrămarea vechiului imperiu roman în cele zece diviziuni ale sale, despre care, în primele patru trâmbițe, avem o descriere.” Uriah Smith, Daniel and Revelation, 477.</w:t>
      </w:r>
    </w:p>
    <w:p>
      <w:pPr>
        <w:pStyle w:val="ArticleBody"/>
        <w:jc w:val="left"/>
      </w:pPr>
      <w:r>
        <w:rPr>
          <w:rFonts w:ascii="Times New Roman" w:hAnsi="Times New Roman" w:eastAsia="Times New Roman" w:cs="Times New Roman"/>
        </w:rPr>
        <w:t>Smith identifică faptul că primele patru trâmbițe au fost judecățile lui Dumnezeu asupra Romei păgâne. El citează versetul șapte, care identifică caracteristicile profetice ale primei trâmbițe, iar apoi îi identifică împlinirea istorică.</w:t>
      </w:r>
    </w:p>
    <w:p>
      <w:pPr>
        <w:pStyle w:val="ArticleScripture"/>
        <w:jc w:val="left"/>
      </w:pPr>
      <w:r>
        <w:rPr>
          <w:rFonts w:ascii="Times New Roman" w:hAnsi="Times New Roman" w:eastAsia="Times New Roman" w:cs="Times New Roman"/>
        </w:rPr>
        <w:t>„Prima plagă și grea judecată care a căzut asupra Romei Apusene în cursul decăderii ei a fost războiul cu goții sub Alaric, care a deschis calea pentru incursiunile ulterioare. Moartea lui Teodosie, împăratul roman, a avut loc în ianuarie 395, iar înainte de sfârșitul iernii goții sub Alaric erau deja înarmați împotriva imperiului.</w:t>
      </w:r>
    </w:p>
    <w:p>
      <w:pPr>
        <w:pStyle w:val="ArticleScripture"/>
        <w:jc w:val="left"/>
      </w:pPr>
      <w:r>
        <w:rPr>
          <w:rFonts w:ascii="Times New Roman" w:hAnsi="Times New Roman" w:eastAsia="Times New Roman" w:cs="Times New Roman"/>
        </w:rPr>
        <w:t>„Prima invazie sub Alaric a pustiit Tracia, Macedonia, Attica și Peloponezul, dar nu a ajuns până la cetatea Romei. La a doua sa invazie însă, căpetenia gotică a trecut Alpii și Apeninii și s-a arătat înaintea zidurilor «cetății eterne», care curând a căzut pradă furiei barbarilor.״</w:t>
      </w:r>
    </w:p>
    <w:p>
      <w:pPr>
        <w:pStyle w:val="ArticleScripture"/>
        <w:jc w:val="left"/>
      </w:pPr>
      <w:r>
        <w:rPr>
          <w:rFonts w:ascii="Times New Roman" w:hAnsi="Times New Roman" w:eastAsia="Times New Roman" w:cs="Times New Roman"/>
        </w:rPr>
        <w:t>„Sunetul celei dintâi trâmbițe își are locul spre sfârșitul secolului al patrulea și mai departe și se referă la aceste invazii pustiitoare ale Imperiului Roman sub goți.” Uriah Smith, Daniel and Revelation, 478.</w:t>
      </w:r>
    </w:p>
    <w:p>
      <w:pPr>
        <w:pStyle w:val="ArticleBody"/>
        <w:jc w:val="left"/>
      </w:pPr>
      <w:r>
        <w:rPr>
          <w:rFonts w:ascii="Times New Roman" w:hAnsi="Times New Roman" w:eastAsia="Times New Roman" w:cs="Times New Roman"/>
        </w:rPr>
        <w:t>Smith îl identifică pe Alaric drept simbolul judecății lui Dumnezeu asupra Romei păgâne, reprezentat de cea dintâi trâmbiță. Fiecare dintre trâmbițe are o figură istorică ce o reprezintă; Alaric reprezintă venirea primei trâmbițe de la sfârșitul secolului al patrulea. Miller nu putea să vadă că această trâmbiță a fost adusă asupra Romei din pricina impunerii duminicii, căci Miller păzea duminica. Și Smith a omis acest fapt, însă Smith a recunoscut că cea dintâi lege duminicală impusă a fost instituită de Constantin în anul 321. Regula profetică de bază asociată cu impunerea duminicii este întotdeauna aceeași, căci Dumnezeu nu Se schimbă, iar acea regulă este că „apostazia națională este urmată de ruină națională”. Alaric reprezintă începutul ruinei naționale, care a început chiar în perioada în care Constantin a promulgat cea dintâi lege duminicală.</w:t>
      </w:r>
    </w:p>
    <w:p>
      <w:pPr>
        <w:pStyle w:val="ArticleBody"/>
        <w:jc w:val="left"/>
      </w:pPr>
      <w:r>
        <w:rPr>
          <w:rFonts w:ascii="Times New Roman" w:hAnsi="Times New Roman" w:eastAsia="Times New Roman" w:cs="Times New Roman"/>
        </w:rPr>
        <w:t>Smith continuă citând versetul opt, care identifică a doua trâmbiță, și apoi își continuă comentariul:</w:t>
      </w:r>
    </w:p>
    <w:p>
      <w:pPr>
        <w:pStyle w:val="ArticleScripture"/>
        <w:jc w:val="left"/>
      </w:pPr>
      <w:r>
        <w:rPr>
          <w:rFonts w:ascii="Times New Roman" w:hAnsi="Times New Roman" w:eastAsia="Times New Roman" w:cs="Times New Roman"/>
        </w:rPr>
        <w:t>„Imperiul Roman, după Constantin, a fost împărțit în trei părți; de aici și observația frecventă: „a treia parte a oamenilor” etc., cu aluzie la a treia parte a imperiului care se afla sub biciul pedepsei. Această împărțire a regatului roman s-a făcut la moartea lui Constantin, între cei trei fii ai săi: Constanțiu, Constantin al II-lea și Constans. Constanțiu stăpânea Răsăritul și și-a fixat reședința la Constantinopol, metropola imperiului. Constantin al II-lea deținea Britannia, Galia și Spania. Constans deținea Illyricum, Africa și Italia. (Vezi Istoria ecleziastică a lui Sabine, p. 155.) Cu privire la acest fapt istoric bine cunoscut, Elliott, citat de Albert Barnes în notele sale la Apoc. 12:4, spune: „De cel puțin două ori, înainte ca Imperiul Roman să ajungă împărțit în mod permanent în cele două părți, cea de Răsărit și cea de Apus, a existat o împărțire tripartită a imperiului. Cea dintâi a avut loc în anul 311 d.Hr., când a fost împărțit între Constantin, Liciniu și Maximin; cealaltă, în anul 337 d.Hr., la moartea lui Constantin, între Constans și Constanțiu.”” Uriah Smith, Daniel și Apocalipsa, 480.</w:t>
      </w:r>
    </w:p>
    <w:p>
      <w:pPr>
        <w:pStyle w:val="ArticleBody"/>
        <w:jc w:val="left"/>
      </w:pPr>
      <w:r>
        <w:rPr>
          <w:rFonts w:ascii="Times New Roman" w:hAnsi="Times New Roman" w:eastAsia="Times New Roman" w:cs="Times New Roman"/>
        </w:rPr>
        <w:t>Fenomenul istoric al împărțirii Romei în trei părți, precum și în două părți, la care fac referire istoricii citați de Smith, constituie elementele Romei care identifică întreita unire a Romei Moderne, alcătuind o structură împărțită în două, reprezentând combinația dintre biserică și stat. Când Smith continuă, el identifică apoi figura istorică asociată cu cea de-a doua trâmbiță.</w:t>
      </w:r>
    </w:p>
    <w:p>
      <w:pPr>
        <w:pStyle w:val="ArticleScripture"/>
        <w:jc w:val="left"/>
      </w:pPr>
      <w:r>
        <w:rPr>
          <w:rFonts w:ascii="Times New Roman" w:hAnsi="Times New Roman" w:eastAsia="Times New Roman" w:cs="Times New Roman"/>
        </w:rPr>
        <w:t>“Istoria ilustrativă a sunării celei de-a doua trâmbițe se referă în mod evident la invadarea și cucerirea Africii și, apoi, a Italiei de către înfricoșătorul Genseric. Cuceririle lui au fost în cea mai mare parte NAVALE; iar biruințele lui au fost „ca un munte mare arzând de foc, aruncat în mare”. Ce imagine ar putea ilustra mai bine, sau măcar la fel de bine, ciocnirea flotelor și prăpădul general al războiului pe țărmurile maritime? În explicarea acestei trâmbițe, trebuie să căutăm anumite evenimente care vor avea o legătură deosebită cu lumea comercială. Simbolul folosit ne conduce în mod firesc să ne așteptăm la tulburare și agitație. Nimic altceva decât un cumplit război maritim n-ar împlini profeția. Dacă sunarea primelor patru trâmbițe se referă la patru evenimente remarcabile care au contribuit la căderea Imperiului Roman, iar prima trâmbiță se referă la devastările goților sub Alaric, în aceasta căutăm în mod firesc următorul act succesiv de invazie care a zguduit puterea romană și a contribuit la prăbușirea ei. Următoarea mare invazie a fost aceea a „înfricoșătorului Genseric”, în fruntea vandalilor. Activitatea lui s-a desfășurat în anii 428–468 d.Hr. Acest mare căpeteniu vandal își avea cartierul general în Africa....”</w:t>
      </w:r>
    </w:p>
    <w:p>
      <w:pPr>
        <w:pStyle w:val="ArticleScripture"/>
        <w:jc w:val="left"/>
      </w:pPr>
      <w:r>
        <w:rPr>
          <w:rFonts w:ascii="Times New Roman" w:hAnsi="Times New Roman" w:eastAsia="Times New Roman" w:cs="Times New Roman"/>
        </w:rPr>
        <w:t>„În privința rolului important pe care acest corsar îndrăzneț l-a jucat în căderea Romei, dl Gibbon folosește acest limbaj semnificativ: «Genseric, un nume care, în distrugerea imperiului roman, a meritat un rang egal cu numele lui Alaric și Attila.»” Uriah Smith, Daniel and Revelation, 481, 484.</w:t>
      </w:r>
    </w:p>
    <w:p>
      <w:pPr>
        <w:pStyle w:val="ArticleBody"/>
        <w:jc w:val="left"/>
      </w:pPr>
      <w:r>
        <w:rPr>
          <w:rFonts w:ascii="Times New Roman" w:hAnsi="Times New Roman" w:eastAsia="Times New Roman" w:cs="Times New Roman"/>
        </w:rPr>
        <w:t>Smith, în timp ce îl cita pe istoricul Gibbon, care a evidențiat simbolurile istorice ale primelor trei trâmbițe, a identificat faptul că Genseric era a doua trâmbiță și apoi a spus că Genseric „merita un rang egal cu Alaric și Attila”. Alaric este prima trâmbiță, Genseric a doua, iar Attila Hunul era a treia trâmbiță, la care se face referire în versetul zece. Smith a arătat că a doua trâmbiță, reprezentată de Genseric, reprezenta istoria anilor „428-468”. Apoi Smith citează versetul zece, care identifică a treia trâmbiță, și își continuă narațiunea:</w:t>
      </w:r>
    </w:p>
    <w:p>
      <w:pPr>
        <w:pStyle w:val="ArticleScripture"/>
        <w:jc w:val="left"/>
      </w:pPr>
      <w:r>
        <w:rPr>
          <w:rFonts w:ascii="Times New Roman" w:hAnsi="Times New Roman" w:eastAsia="Times New Roman" w:cs="Times New Roman"/>
        </w:rPr>
        <w:t>„În interpretarea și aplicarea acestui pasaj, suntem aduși la al treilea eveniment important care a avut ca rezultat subminarea imperiului roman. Iar în găsirea unei împliniri istorice a acestei a treia trâmbițe, vom fi îndatorați Notelor Dr. Albert Barnes pentru câteva extrase. În explicarea acestei Scripturi, este necesar, după cum spune acest comentator, «ca să existe vreun conducător sau războinic care ar putea fi asemănat cu un meteor strălucitor; a cărui traiectorie să fie în chip deosebit de strălucită; care să apară deodată CA o stea arzătoare și apoi să dispară ca o stea a cărei lumină a fost stinsă în ape».— Note on Revelation 8.</w:t>
      </w:r>
    </w:p>
    <w:p>
      <w:pPr>
        <w:pStyle w:val="ArticleScripture"/>
        <w:jc w:val="left"/>
      </w:pPr>
      <w:r>
        <w:rPr>
          <w:rFonts w:ascii="Times New Roman" w:hAnsi="Times New Roman" w:eastAsia="Times New Roman" w:cs="Times New Roman"/>
        </w:rPr>
        <w:t>„Aici se presupune că această trâmbiță face aluzie la războaiele pustiitoare și la invaziile năprasnice ale lui Attila împotriva puterii romane, pe care le-a purtat în fruntea hoardelor sale de huni....”</w:t>
      </w:r>
    </w:p>
    <w:p>
      <w:pPr>
        <w:pStyle w:val="ArticleScripture"/>
        <w:jc w:val="left"/>
      </w:pPr>
      <w:r>
        <w:rPr>
          <w:rFonts w:ascii="Times New Roman" w:hAnsi="Times New Roman" w:eastAsia="Times New Roman" w:cs="Times New Roman"/>
        </w:rPr>
        <w:t>„Și numele stelei se cheamă Pelin [arătând urmările amare].” Aceste cuvinte — care sunt legate mai strâns de versetul precedent, după cum arată chiar și punctuația din versiunea noastră — ne readuc pentru o clipă la caracterul lui Attila, la nenorocirea al cărei autor sau instrument a fost și la groaza pe care o inspira numele său.</w:t>
      </w:r>
    </w:p>
    <w:p>
      <w:pPr>
        <w:pStyle w:val="ArticleScripture"/>
        <w:jc w:val="left"/>
      </w:pPr>
      <w:r>
        <w:rPr>
          <w:rFonts w:ascii="Times New Roman" w:hAnsi="Times New Roman" w:eastAsia="Times New Roman" w:cs="Times New Roman"/>
        </w:rPr>
        <w:t>„«Exterminare totală și ștergere», sunt termeni care desemnează cel mai bine calamitățile pe care le-a provocat.” El se numea pe sine „Biciul lui Dumnezeu”. Uriah Smith, Daniel and Revelation, 484, 487.</w:t>
      </w:r>
    </w:p>
    <w:p>
      <w:pPr>
        <w:pStyle w:val="ArticleBody"/>
        <w:jc w:val="left"/>
      </w:pPr>
      <w:r>
        <w:rPr>
          <w:rFonts w:ascii="Times New Roman" w:hAnsi="Times New Roman" w:eastAsia="Times New Roman" w:cs="Times New Roman"/>
        </w:rPr>
        <w:t>Historia celei de-a treia trâmbițe, reprezentată de Attila Hunul, s-a desfășurat din anul 441 până la moartea sa în anul 453. Smith citează apoi versetul doisprezece, care prezintă a patra trâmbiță și îl descrie pe monarhul barbar Odoacru, unde simbolismul întreit al Romei de Apus este reprezentat prin soare, lună și stele. El identifică cele trei simboluri ca simboluri ale „soarelui, lunii și stelelor — căci ele sunt, fără îndoială, folosite aici ca simboluri — [și] desemnează în mod evident marile luminătoare ale guvernării romane — împărații, senatorii și consulii ei. Episcopul Newton observă că ultimul împărat al Romei de Apus a fost Romulus, care, în batjocură, era numit Augustulus, sau „micul Augustus”. Roma de Apus a căzut în anul 476 d.Hr. Totuși, chiar dacă soarele roman fusese stins, luminătorii săi subordonați au strălucit slab câtă vreme senatul și consulii au continuat să existe. Dar, după multe răsturnări civile și schimbări ale sorții politice, în cele din urmă, în anul 566 d.Hr., întreaga formă a vechii guvernări a fost subminată, iar Roma însăși a fost redusă din poziția de împărăteasă a lumii la cea de sărac ducat tributar Exarhului de Ravenna.” Uriah Smith, Daniel and Revelation, 487.</w:t>
      </w:r>
    </w:p>
    <w:p>
      <w:pPr>
        <w:pStyle w:val="ArticleBody"/>
        <w:jc w:val="left"/>
      </w:pPr>
      <w:r>
        <w:rPr>
          <w:rFonts w:ascii="Times New Roman" w:hAnsi="Times New Roman" w:eastAsia="Times New Roman" w:cs="Times New Roman"/>
        </w:rPr>
        <w:t>Aici găsim o altă mărturie a împărțirii întreite a Romei, care prefigurează unirea întreită a Romei moderne. În cazul Romei răsăritene și al împăratului Constantin, împărțirea întreită a fost reprezentată de cei trei fii ai săi, dar în cazul Romei apusene ea a fost reprezentată de forma lor întreită de guvernare. Smith identifică apoi faptul că soarele, luna și stelele reprezintă o anumită ordine în care Roma apuseană a fost doborâtă. El își încheie narațiunea cu următoarea introducere a ultimelor trei trâmbițe.</w:t>
      </w:r>
    </w:p>
    <w:p>
      <w:pPr>
        <w:pStyle w:val="ArticleScripture"/>
        <w:jc w:val="left"/>
      </w:pPr>
      <w:r>
        <w:rPr>
          <w:rFonts w:ascii="Times New Roman" w:hAnsi="Times New Roman" w:eastAsia="Times New Roman" w:cs="Times New Roman"/>
        </w:rPr>
        <w:t>„Oricât de înfricoșătoare au fost nenorocirile aduse asupra imperiului de primele incursiuni ale acestor barbari, ele au fost relativ ușoare în comparație cu nenorocirile care aveau să urmeze. Ele nu au fost decât asemenea picăturilor premergătoare ale unei ploi, înaintea torentului care avea curând să se reverse asupra lumii romane. Cele trei trâmbițe rămase sunt umbrite de un nor de vai, după cum se arată în versetele următoare.</w:t>
      </w:r>
    </w:p>
    <w:p>
      <w:pPr>
        <w:pStyle w:val="ArticleScripture"/>
        <w:jc w:val="left"/>
      </w:pPr>
      <w:r>
        <w:rPr>
          <w:rFonts w:ascii="Times New Roman" w:hAnsi="Times New Roman" w:eastAsia="Times New Roman" w:cs="Times New Roman"/>
        </w:rPr>
        <w:t>„Versetul 13. Și am privit și am auzit un înger zburând prin mijlocul cerului, spunând cu glas tare: Vai, vai, vai de locuitorii pământului, din pricina celorlalte glasuri ale trâmbiței celor trei îngeri, care încă urmează să sune.”</w:t>
      </w:r>
    </w:p>
    <w:p>
      <w:pPr>
        <w:pStyle w:val="ArticleScripture"/>
        <w:jc w:val="left"/>
      </w:pPr>
      <w:r>
        <w:rPr>
          <w:rFonts w:ascii="Times New Roman" w:hAnsi="Times New Roman" w:eastAsia="Times New Roman" w:cs="Times New Roman"/>
        </w:rPr>
        <w:t>„Acest înger nu este unul din seria celor șapte îngeri ai trâmbițelor, ci pur și simplu unul care vestește că cele trei trâmbițe rămase sunt trâmbițe de vai, din cauza evenimentelor mai înfricoșătoare care urmează să aibă loc sub sunetul lor. Astfel, următoarea, sau a cincea trâmbiță, este prima vai; a șasea trâmbiță, a doua vai; iar a șaptea, ultima din această serie de șapte trâmbițe, este a treia vai.” Uriah Smith, Daniel and Revelation, 493.</w:t>
      </w:r>
    </w:p>
    <w:p>
      <w:pPr>
        <w:pStyle w:val="ArticleBody"/>
        <w:jc w:val="left"/>
      </w:pPr>
      <w:r>
        <w:rPr>
          <w:rFonts w:ascii="Times New Roman" w:hAnsi="Times New Roman" w:eastAsia="Times New Roman" w:cs="Times New Roman"/>
        </w:rPr>
        <w:t>Vom continua cu cele trei Vaiuri ale trâmbițelor în articolul următor.</w:t>
      </w:r>
    </w:p>
    <w:p>
      <w:pPr>
        <w:pStyle w:val="ArticleScripture"/>
        <w:jc w:val="left"/>
      </w:pPr>
      <w:r>
        <w:rPr>
          <w:rFonts w:ascii="Times New Roman" w:hAnsi="Times New Roman" w:eastAsia="Times New Roman" w:cs="Times New Roman"/>
        </w:rPr>
        <w:t>„Nenorocirile Romei imperiale, în prăbușirea ei, au fost vestite până la cea din urmă dintre ele, până când Roma a rămas fără împărat, fără consul și fără senat. «Sub exarhii de la Ravenna, Roma a fost degradată la rangul al doilea.» A fost lovită a treia parte a soarelui, și a treia parte a lunii, și a treia parte a stelelor. Neamul Cezarilor nu s-a stins odată cu împărații Apusului. Roma, înainte de căderea ei, nu deținea decât o parte din puterea imperială. Constantinopolul împărțea cu ea imperiul lumii. Și nici goții, nici vandalii nu au stăpânit peste acea cetate încă imperială, al cărei împărat, după cea dintâi strămutare a scaunului imperial de către Constantin, l-a ținut adesea pe împăratul Romei drept numitul și locțiitorul său. Iar soarta Constantinopolului a fost păstrată pentru alte veacuri și a fost vestită de alte trâmbițe. Din soare, din lună și din stele, deocamdată nu fusese lovită decât a treia parte.”</w:t>
      </w:r>
    </w:p>
    <w:p>
      <w:pPr>
        <w:pStyle w:val="ArticleScripture"/>
        <w:jc w:val="left"/>
      </w:pPr>
      <w:r>
        <w:rPr>
          <w:rFonts w:ascii="Times New Roman" w:hAnsi="Times New Roman" w:eastAsia="Times New Roman" w:cs="Times New Roman"/>
        </w:rPr>
        <w:t>„Cuvintele de încheiere ale Trâmbiței a Patra sugerează restaurarea viitoare a Imperiului de Apus: «Ziua nu a luminat a treia parte din ea, și noaptea de asemenea.» În ceea ce privește autoritatea civilă, Roma a ajuns supusă Ravennei, iar Italia era o provincie cucerită a Imperiului de Răsărit. Dar, întrucât acest fapt aparține mai potrivit altor profeții, apărarea închinării la imagini a adus mai întâi puterile spirituală și temporală ale papei și ale împăratului într-o ciocnire violentă; iar, prin faptul că i-a conferit papei toată autoritatea asupra bisericilor, Iustinian și-a întins mâna de ajutor la promovarea supremației papale, care mai târziu și-a arogat puterea de a crea monarhi. În anul Domnului 800, papa i-a conferit lui Carol cel Mare titlul de Împărat al Romanilor.» — Keith. Acest titlu a fost apoi transferat din nou de la regele Franței la regele Germaniei. Iar prin împăratul Francisc al II-lea până și această ficțiune a fost în cele din urmă și pentru totdeauna lepădată, la 6 aug. 1806.” A. T. Jones, Marile Națiuni ale Zilei de Azi,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dc:title>
  <dc:subject>Demascarea simbolismului profetic: o analiză cuprinzătoare a celor șapte trâmbițe din Apocalipsa</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