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optsprezece</w:t>
      </w:r>
    </w:p>
    <w:p>
      <w:pPr>
        <w:pStyle w:val="ArticleSubtitle"/>
        <w:jc w:val="left"/>
      </w:pPr>
      <w:r>
        <w:rPr>
          <w:rFonts w:ascii="Arial" w:hAnsi="Arial" w:eastAsia="Arial" w:cs="Arial"/>
        </w:rPr>
        <w:t>Avertismentul profetic către Ierusalim: o înfățișare simbolică a evenimentelor de la sfârșitul vremurilor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Șapte ani de avertizare, din anul 63 până în anul 70, care au fost proclamați de omul ce mergea „în sus și în jos pe străzile Ierusalimului, vestind nenorocirile care aveau să vină asupra cetății”, fuseseră prefigurați prin avertizarea dată Ierusalimului timp de trei ani și jumătate, mai întâi în lucrarea lui Hristos, iar apoi timp de trei ani și jumătate în lucrarea ucenicilor. Articolele anterioare au arătat deja că distrugerea Ierusalimului ar fi putut fi adusă la cruce sau, mai târziu, la uciderea cu pietre a lui Ștefan, însă îndelunga-răbdare a lui Dumnezeu a amânat judecata Sa asupra cetății și a poporului.</w:t>
      </w:r>
    </w:p>
    <w:p>
      <w:pPr>
        <w:pStyle w:val="ArticleScripture"/>
        <w:jc w:val="left"/>
      </w:pPr>
      <w:r>
        <w:rPr>
          <w:rFonts w:ascii="Times New Roman" w:hAnsi="Times New Roman" w:eastAsia="Times New Roman" w:cs="Times New Roman"/>
        </w:rPr>
        <w:t>„I na kogoto i da padne, shte go stori na prah.“ Narodat, koyto othvŭrli Khristos, skoro shteshe da vidi svoya grad i svoya narod razrusheni. Tyaḥnata slava shteshe da bŭde slomena i razprŭsnata kato prah pred vyatŭra. I kakvo beshe tova, koeto pogubi yudeite? Tova beshe kamŭkŭt, vŭrkhu koyto, ako byakha gradili, shteshe da bŭde tyaḥnata sigurnost. Tova beshe prezryanata Bozhiya blagost, othvŭrlenata pravda, prenebregnatata milost. Chovetsite se postaviha v protivopostavyane na Boga i vsichko, koeto bi bilo tyaḥno spasenie, se prevrŭrna v tyaḥna pogibel. Vsichko, koeto Bog opredeli za zhivot, te nameriha da bŭde za smŭrt. V razpyatieto na Khristos ot yudeite se sŭdŭrzhashe razrushenieto na Ierusalim. Krŭvta, prolyata na Golgota, beshe tezhestta, koyato gi povleche kŭm razorenie za tozi svyat i za sveta, koyto idva. Taka shte bŭde i v velikiyan posledен den, kogato sŭdŭt shte padne vŭrkhu othvŭrlilite Bozhiyata blagodat. Togava Khristos, tyaḥniyat kamŭk na sŭblazŭn, shte im se yavi kato planina na otmŭshtenie. Slavata na Negovoto litse, koyato za pravednite e zhivot, za nechestivite shte bŭde pozhar, koyto pogлŭshta. Poradi othvŭrlenata lyubov, prezryanata blagodat, greshnikŭt shte bŭde poguben.</w:t>
      </w:r>
    </w:p>
    <w:p>
      <w:pPr>
        <w:pStyle w:val="ArticleScripture"/>
        <w:jc w:val="left"/>
      </w:pPr>
      <w:r>
        <w:rPr>
          <w:rFonts w:ascii="Times New Roman" w:hAnsi="Times New Roman" w:eastAsia="Times New Roman" w:cs="Times New Roman"/>
        </w:rPr>
        <w:t>„Prin multe ilustrații și avertizări repetate, Isus a arătat care avea să fie urmarea, pentru iudei, a respingerii Fiului lui Dumnezeu. Prin aceste cuvinte, El Se adresa tuturor acelora, din orice veac, care refuză să-L primească drept Răscumpărător al lor. Fiecare avertizare este pentru ei. Templul profanat, fiul neascultător, vierii cei răi, zidarii disprețuitori își au corespondentul în experiența fiecărui păcătos. Dacă nu se pocăiește, osânda pe care acestea au prevestit-o va fi a lui.” Hristos, Lumina lumii, 600.</w:t>
      </w:r>
    </w:p>
    <w:p>
      <w:pPr>
        <w:pStyle w:val="ArticleBody"/>
        <w:jc w:val="left"/>
      </w:pPr>
      <w:r>
        <w:rPr>
          <w:rFonts w:ascii="Times New Roman" w:hAnsi="Times New Roman" w:eastAsia="Times New Roman" w:cs="Times New Roman"/>
        </w:rPr>
        <w:t>Perioada de șapte ani în care omul a dat mărturie Ierusalimului a fost împărțită, la primul asediu, în două perioade egale de o mie două sute șaizeci de zile. Acei șapte ani reprezentau distrugerea Ierusalimului, iar cei șapte ani ai lucrării lui Hristos și a ucenicilor reprezentau începutul distrugerii Ierusalimului, iar Isus ilustrează întotdeauna sfârșitul prin început. Acei șapte ani au fost, de asemenea, prefigurați prin „șapte vremi” împotriva împărăției de nord, care au fost împărțite în două perioade egale de o mie două sute șaizeci de ani.</w:t>
      </w:r>
    </w:p>
    <w:p>
      <w:pPr>
        <w:pStyle w:val="ArticleBody"/>
        <w:jc w:val="left"/>
      </w:pPr>
      <w:r>
        <w:rPr>
          <w:rFonts w:ascii="Times New Roman" w:hAnsi="Times New Roman" w:eastAsia="Times New Roman" w:cs="Times New Roman"/>
        </w:rPr>
        <w:t>Når det moderne Rom gentager historien om det hedenske og det pavelige Rom, som nedtræder det bogstavelige og det åndelige Jerusalem, og når det moderne Rom gentager de to historiske forløb fra de to advarselsperioder, som blev givet af manden fra år 63 til år 70, og når det moderne Rom gentager den historie, der fremstilles ved de to perioder, hvor Kristus og disciplene gik ind og ud af Jerusalem i tre og et halvt år, da vil to særskilte perioder blive åbenbaret, skønt i de sidste dage „er tiden ikke mere.“</w:t>
      </w:r>
    </w:p>
    <w:p>
      <w:pPr>
        <w:pStyle w:val="ArticleBody"/>
        <w:jc w:val="left"/>
      </w:pPr>
      <w:r>
        <w:rPr>
          <w:rFonts w:ascii="Times New Roman" w:hAnsi="Times New Roman" w:eastAsia="Times New Roman" w:cs="Times New Roman"/>
        </w:rPr>
        <w:t>Ultima dintre aceste două perioade este perioada simbolică de patruzeci și două de luni, în care Roma modernă își duce la îndeplinire persecuția finală împotriva celor credincioși, după ce rana ei de moarte este vindecată prin legea duminicală care urmează să vină în curând. Acea perioadă simbolică de patruzeci și două de luni este a doua dintre cele două perioade și este perioada judecății executive a Romei moderne. Acea perioadă este precedată de judecata de cercetare a celor vii în adventismul laodicean.</w:t>
      </w:r>
    </w:p>
    <w:p>
      <w:pPr>
        <w:pStyle w:val="ArticleBody"/>
        <w:jc w:val="left"/>
      </w:pPr>
      <w:r>
        <w:rPr>
          <w:rFonts w:ascii="Times New Roman" w:hAnsi="Times New Roman" w:eastAsia="Times New Roman" w:cs="Times New Roman"/>
        </w:rPr>
        <w:t>Omul care a prezentat avertizarea Ierusalimului literal a murit în timpul asediului lui Titus. El nu a murit la distrugere, ci în timpul asediului care a precedat distrugerea, căci niciun creștin nu a murit la distrugerea Ierusalimului.</w:t>
      </w:r>
    </w:p>
    <w:p>
      <w:pPr>
        <w:pStyle w:val="ArticleScripture"/>
        <w:jc w:val="left"/>
      </w:pPr>
      <w:r>
        <w:rPr>
          <w:rFonts w:ascii="Times New Roman" w:hAnsi="Times New Roman" w:eastAsia="Times New Roman" w:cs="Times New Roman"/>
        </w:rPr>
        <w:t>„În decurs de șapte ani, un om a continuat să străbată în sus și în jos străzile Ierusalimului, vestind nenorocirile care aveau să vină asupra cetății. Zi și noapte intona această tânguire sălbatică: «Un glas din răsărit! un glas din apus! un glas din cele patru vânturi! un glas împotriva Ierusalimului și împotriva templului! un glas împotriva mirilor și a mireselor! un glas împotriva întregului popor!» — Ibid. Această ființă ciudată a fost întemnițată și biciuită, dar de pe buzele lui nu a scăpat nicio plângere. La insultă și batjocură nu răspundea decât atât: «Vai, vai de Ierusalim!» «vai, vai locuitorilor lui!» Strigătul său de avertizare nu a încetat până când a fost ucis în timpul asediului pe care îl prorocise.” Tragedia veacurilor, 29, 30.</w:t>
      </w:r>
    </w:p>
    <w:p>
      <w:pPr>
        <w:pStyle w:val="ArticleBody"/>
        <w:jc w:val="left"/>
      </w:pPr>
      <w:r>
        <w:rPr>
          <w:rFonts w:ascii="Times New Roman" w:hAnsi="Times New Roman" w:eastAsia="Times New Roman" w:cs="Times New Roman"/>
        </w:rPr>
        <w:t>Omul a murit în timpul asediului, dar nu la distrugerea finală, iar distrugerea finală reprezintă încheierea timpului de probă și cele șapte plăgi de pe urmă. Prin urmare, omul este un simbol al mesajului de a părăsi Ierusalimul la primul asediu. Atunci creștinii au fugit, iar în primii trei ani și jumătate omul a fost un simbol al unui grup care nu moare în Ierusalim, iar în cei de-ai doilea trei ani și jumătate el este un simbol al ultimilor creștini care mor înainte de încheierea timpului de probă. În prima perioadă el îi identifică pe cei o sută patruzeci și patru de mii, iar în a doua perioadă de trei ani și jumătate el reprezintă marea gloată care moare în timpul celei de-a doua perioade.</w:t>
      </w:r>
    </w:p>
    <w:p>
      <w:pPr>
        <w:pStyle w:val="ArticleBody"/>
        <w:jc w:val="left"/>
      </w:pPr>
      <w:r>
        <w:rPr>
          <w:rFonts w:ascii="Times New Roman" w:hAnsi="Times New Roman" w:eastAsia="Times New Roman" w:cs="Times New Roman"/>
        </w:rPr>
        <w:t>Mesajul omului a fost consemnat de istoricul respectiv și a fost redat prin șase glasuri. Când, în cele din urmă, a fost întemnițat, al șaptelea și ultimul său mesaj a fost „vai, vai” asupra Ierusalimului și a locuitorilor lui. Primul „glas” consemnat a fost un „glas din răsărit”, iar ultimul său mesaj a fost „vai”. Primul element al mesajului său și ultimul element al mesajului său au fost simbolul biblic care reprezintă islamul, căci islamul este, în Biblie, copiii „răsăritului”, iar ei sunt reprezentați de „vântul de răsărit”. Dublarea cuvântului „vai”, în mesajul său final, reflectă sfârșitul Babilonului modern, când împărații pământului strigă de trei ori: „Vai, vai de cetatea aceea mare.” Cuvântul grecesc tradus prin „vai” în cele trei versete din capitolul optsprezece al Apocalipsei este tradus prin „vai” în capitolul opt, versetul treisprezece.</w:t>
      </w:r>
    </w:p>
    <w:p>
      <w:pPr>
        <w:pStyle w:val="ArticleScripture"/>
        <w:jc w:val="left"/>
      </w:pPr>
      <w:r>
        <w:rPr>
          <w:rFonts w:ascii="Times New Roman" w:hAnsi="Times New Roman" w:eastAsia="Times New Roman" w:cs="Times New Roman"/>
        </w:rPr>
        <w:t>Și am privit și am auzit un înger zburând prin mijlocul cerului, spunând cu glas tare: Vai, vai, vai de locuitorii pământului, din pricina celorlalte sunete ale trâmbiței celor trei îngeri care încă urmează să sune! Apocalipsa 8:13.</w:t>
      </w:r>
    </w:p>
    <w:p>
      <w:pPr>
        <w:pStyle w:val="ArticleBody"/>
        <w:jc w:val="left"/>
      </w:pPr>
      <w:r>
        <w:rPr>
          <w:rFonts w:ascii="Times New Roman" w:hAnsi="Times New Roman" w:eastAsia="Times New Roman" w:cs="Times New Roman"/>
        </w:rPr>
        <w:t>Proclamația omului: „vai, vai” reprezintă aplicarea întreită a celor trei vaiuri, căci elementele primului Vai, combinate cu elementele celui de-al doilea Vai „linie peste linie”, identifică elementele celui de-al treilea Vai, după cum cele trei rostiri ale expresiei „vai, vai” de către împărații pământului din capitolul optsprezece reprezintă al treilea Vai, așa cum este stabilit prin primul și al doilea Vai. Începutul și sfârșitul mesajului omului au prefigurat mesajul Islamului, al celui de-al treilea Vai.</w:t>
      </w:r>
    </w:p>
    <w:p>
      <w:pPr>
        <w:pStyle w:val="ArticleBody"/>
        <w:jc w:val="left"/>
      </w:pPr>
      <w:r>
        <w:rPr>
          <w:rFonts w:ascii="Times New Roman" w:hAnsi="Times New Roman" w:eastAsia="Times New Roman" w:cs="Times New Roman"/>
        </w:rPr>
        <w:t>Prima exprimare a mesajului său a fost un glas din „răsărit”, iar „răsăritul” este un simbol al Islamului, dar este și o identificare a îngerului sigilării care se ridică din răsărit.</w:t>
      </w:r>
    </w:p>
    <w:p>
      <w:pPr>
        <w:pStyle w:val="ArticleScripture"/>
        <w:jc w:val="left"/>
      </w:pPr>
      <w:r>
        <w:rPr>
          <w:rFonts w:ascii="Times New Roman" w:hAnsi="Times New Roman" w:eastAsia="Times New Roman" w:cs="Times New Roman"/>
        </w:rPr>
        <w:t>Și după aceste lucruri am văzut patru îngeri stând în cele patru colțuri ale pământului, ținând cele patru vânturi ale pământului, ca vântul să nu sufle nici peste pământ, nici peste mare, nici peste vreun copac. Și am văzut un alt înger ridicându-se din răsărit, având pecetea Dumnezeului celui viu; și a strigat cu glas tare către cei patru îngeri, cărora le fusese dat să vatăme pământul și marea, zicând: Nu vătămați pământul, nici marea, nici copacii, până când vom fi pecetluit pe slujitorii Dumnezeului nostru pe frunțile lor. Și am auzit numărul celor ce fuseseră pecetluiți: o sută patruzeci și patru de mii, din toate semințiile fiilor lui Israel. Apocalipsa 7:1–4.</w:t>
      </w:r>
    </w:p>
    <w:p>
      <w:pPr>
        <w:pStyle w:val="ArticleBody"/>
        <w:jc w:val="left"/>
      </w:pPr>
      <w:r>
        <w:rPr>
          <w:rFonts w:ascii="Times New Roman" w:hAnsi="Times New Roman" w:eastAsia="Times New Roman" w:cs="Times New Roman"/>
        </w:rPr>
        <w:t>În relatarea despre Ilie pe Muntele Carmel, când s-a uitat spre mare și a văzut un nor, el privea spre apus, căci Muntele Carmel este situat în apropierea Mării Mediterane.</w:t>
      </w:r>
    </w:p>
    <w:p>
      <w:pPr>
        <w:pStyle w:val="ArticleScripture"/>
        <w:jc w:val="left"/>
      </w:pPr>
      <w:r>
        <w:rPr>
          <w:rFonts w:ascii="Times New Roman" w:hAnsi="Times New Roman" w:eastAsia="Times New Roman" w:cs="Times New Roman"/>
        </w:rPr>
        <w:t>Și s-a întâmplat a șaptea oară că el a zis: Iată, se ridică din mare un nor mic, ca mâna unui om. Și el a zis: Suie-te, spune-i lui Ahab: Înhamă-ți carul și coboară-te, ca să nu te oprească ploaia. 1 Regi 18:44.</w:t>
      </w:r>
    </w:p>
    <w:p>
      <w:pPr>
        <w:pStyle w:val="ArticleBody"/>
        <w:jc w:val="left"/>
      </w:pPr>
      <w:r>
        <w:rPr>
          <w:rFonts w:ascii="Times New Roman" w:hAnsi="Times New Roman" w:eastAsia="Times New Roman" w:cs="Times New Roman"/>
        </w:rPr>
        <w:t>Ilie ar fi fost cu fața spre apus, în direcția Mării Mediterane. În capitolul doisprezece din Luca, Hristos vorbește despre mesajul Său ca fiind un mesaj de dezbinare.</w:t>
      </w:r>
    </w:p>
    <w:p>
      <w:pPr>
        <w:pStyle w:val="ArticleScripture"/>
        <w:jc w:val="left"/>
      </w:pPr>
      <w:r>
        <w:rPr>
          <w:rFonts w:ascii="Times New Roman" w:hAnsi="Times New Roman" w:eastAsia="Times New Roman" w:cs="Times New Roman"/>
        </w:rPr>
        <w:t>Credeţi că am venit să aduc pace pe pământ? Vă spun: Nu; ci mai degrabă dezbinare. Căci de acum înainte, într-o casă vor fi cinci dezbinaţi: trei împotriva a doi şi doi împotriva a trei. Tatăl va fi dezbinat împotriva fiului, şi fiul împotriva tatălui; mama împotriva fiicei, şi fiica împotriva mamei; soacra împotriva nurorii sale, şi nora împotriva soacrei sale. Şi a zis de asemenea mulţimilor: Când vedeţi un nor ridicându-se de la apus, îndată spuneţi: Vine ploaia; şi aşa se întâmplă. Şi când vedeţi suflând vântul de miazăzi, spuneţi: Va fi căldură; şi aşa se întâmplă. Făţarnicilor, ştiţi să deosebiţi înfăţişarea cerului şi a pământului; dar cum se face că nu deosebiţi vremea aceasta? Luca 12:51–56.</w:t>
      </w:r>
    </w:p>
    <w:p>
      <w:pPr>
        <w:pStyle w:val="ArticleBody"/>
        <w:jc w:val="left"/>
      </w:pPr>
      <w:r>
        <w:rPr>
          <w:rFonts w:ascii="Times New Roman" w:hAnsi="Times New Roman" w:eastAsia="Times New Roman" w:cs="Times New Roman"/>
        </w:rPr>
        <w:t>Mesajul solului către Ierusalim poartă semnătura Alfa și Omega, căci începutul și sfârșitul identifică islamul celei de-a treia Vai și, prin glasul „răsăritului”, identifică totodată mesajul islamului ca fiind mesajul sigilării. „Al doilea glas” din „apus” identifică ploaia târzie, care este ploaia de pe urmă, iar toți profeții se adresează zilelor de pe urmă. Mesajul „apusului” este un simbol al mesajului ploii târzii, care produce două clase de închinători. Una dintre aceste clase nu poate recunoaște mesajul ploii târzii, căci „nu deosebesc vremea aceasta.”</w:t>
      </w:r>
    </w:p>
    <w:p>
      <w:pPr>
        <w:pStyle w:val="ArticleBody"/>
        <w:jc w:val="left"/>
      </w:pPr>
      <w:r>
        <w:rPr>
          <w:rFonts w:ascii="Times New Roman" w:hAnsi="Times New Roman" w:eastAsia="Times New Roman" w:cs="Times New Roman"/>
        </w:rPr>
        <w:t>Elementul următor al mesajului solului este glasul „celor patru vânturi”, care este atât mesajul sigilării, cât și mesajul calului mânios al islamului, așa cum este reprezentat de cea de-a treia Vai. Elementul următor este împotriva Ierusalimului și a templului, identificând astfel mesajul tuturor profeților, care identifică o categorie de oameni peste care se trece, căci ei și-au întemeiat pretenția la mântuire nu în Hristos, ci în templu și în moștenirea lor ca popor ales al lui Dumnezeu. Ei sunt aceia care, de-a lungul istoriei sacre, sunt reprezentați ca proclamând: „Templul Domnului, templul Domnului suntem noi.” Mesajul împotriva Ierusalimului și a templului este mesajul către Laodicea.</w:t>
      </w:r>
    </w:p>
    <w:p>
      <w:pPr>
        <w:pStyle w:val="ArticleScripture"/>
        <w:jc w:val="left"/>
      </w:pPr>
      <w:r>
        <w:rPr>
          <w:rFonts w:ascii="Times New Roman" w:hAnsi="Times New Roman" w:eastAsia="Times New Roman" w:cs="Times New Roman"/>
        </w:rPr>
        <w:t>„Nu este nevoie să ne mirăm că biserica nu este înviorată de puterea Duhului Sfânt. Bărbații și femeile dau la o parte învățătura pe care a dat-o Hristos. Mânia și lăcomia dobândesc biruința. Templul sufletului este plin de nelegiuire. Nu este loc pentru Hristos. Oamenii urmează propriile lor căi stricate. Ei nu vor să ia seama la cuvintele Mântuitorului. Se iau pe ei înșiși în propriile lor mâini, respingând mustrările și avertizările, până când sfeșnicul este mutat din locul lui, iar discernământul spiritual este zăpăcit de ideile omenești. Deși sunt deficitari în slujire, ei se îndreptățesc, zicând: «Templul Domnului, Templul Domnului suntem noi.» Ei pun deoparte Legea lui Dumnezeu pentru a urma lumina propriei lor imaginații.” Review and Herald, 8 aprilie 1902.</w:t>
      </w:r>
    </w:p>
    <w:p>
      <w:pPr>
        <w:pStyle w:val="ArticleBody"/>
        <w:jc w:val="left"/>
      </w:pPr>
      <w:r>
        <w:rPr>
          <w:rFonts w:ascii="Times New Roman" w:hAnsi="Times New Roman" w:eastAsia="Times New Roman" w:cs="Times New Roman"/>
        </w:rPr>
        <w:t>Mesagerul și-a înălțat apoi glasul mesajului său de avertizare împotriva mirilor și a mireselor, ca simbol al metodologiei „rând peste rând”, căci linia profetică a zilelor de pe urmă va fi întocmai precum linia profetică din zilele lui Noe, când se dădeau în căsătorie chiar în clipa în care potopul nimicirii era pe punctul de a se revărsa peste ambițiile și planurile lor lumești.</w:t>
      </w:r>
    </w:p>
    <w:p>
      <w:pPr>
        <w:pStyle w:val="ArticleScripture"/>
        <w:jc w:val="left"/>
      </w:pPr>
      <w:r>
        <w:rPr>
          <w:rFonts w:ascii="Times New Roman" w:hAnsi="Times New Roman" w:eastAsia="Times New Roman" w:cs="Times New Roman"/>
        </w:rPr>
        <w:t>Biblia declară că în zilele de pe urmă oamenii vor fi absorbiți de preocupări lumești, de plăceri și de câștigarea banilor. Ei vor fi orbi față de realitățile veșnice. Hristos spune: „Cum au fost zilele lui Noe, așa va fi și venirea Fiului omului. Căci, cum era în zilele dinainte de potop, când mâncau și beau, se însurau și se măritau, până în ziua când a intrat Noe în corabie, și n-au știut nimic până când a venit potopul și i-a luat pe toți, tot așa va fi și venirea Fiului omului.” Matei 24:37–39.</w:t>
      </w:r>
    </w:p>
    <w:p>
      <w:pPr>
        <w:pStyle w:val="ArticleScripture"/>
        <w:jc w:val="left"/>
      </w:pPr>
      <w:r>
        <w:rPr>
          <w:rFonts w:ascii="Times New Roman" w:hAnsi="Times New Roman" w:eastAsia="Times New Roman" w:cs="Times New Roman"/>
        </w:rPr>
        <w:t>„Așa este și astăzi. Oamenii aleargă înainte în goana după câștig și satisfacerea egoistă a poftelor, ca și cum n-ar exista Dumnezeu, nici cer, nici viață de apoi. În zilele lui Noe, avertizarea potopului a fost trimisă pentru a-i zgudui pe oameni în răutatea lor și a-i chema la pocăință. Tot astfel, solia despre apropiata venire a lui Hristos este menită să-i trezească pe oameni din absorbirea lor în lucrurile lumești. Ea este destinată să-i trezească la simțământul realităților veșnice, pentru ca ei să ia aminte la invitația la masa Domnului.”</w:t>
      </w:r>
    </w:p>
    <w:p>
      <w:pPr>
        <w:pStyle w:val="ArticleScripture"/>
        <w:jc w:val="left"/>
      </w:pPr>
      <w:r>
        <w:rPr>
          <w:rFonts w:ascii="Times New Roman" w:hAnsi="Times New Roman" w:eastAsia="Times New Roman" w:cs="Times New Roman"/>
        </w:rPr>
        <w:t>„Evangelia invitația trebuie să fie dată întregii lumi — «oricărui neam, oricărei seminții, oricărei limbi și oricărui norod». Apocalipsa 14:6. Ultimul mesaj de avertizare și îndurare trebuie să lumineze întregul pământ cu slava lui. El trebuie să ajungă la toate clasele de oameni, bogați și săraci, mari și mici. «Ieși la drumuri și la garduri», spune Hristos, «și silește-i să intre, ca să Mi se umple casa.»” Parabolele Domnului Hristos, 228.</w:t>
      </w:r>
    </w:p>
    <w:p>
      <w:pPr>
        <w:pStyle w:val="ArticleBody"/>
        <w:jc w:val="left"/>
      </w:pPr>
      <w:r>
        <w:rPr>
          <w:rFonts w:ascii="Times New Roman" w:hAnsi="Times New Roman" w:eastAsia="Times New Roman" w:cs="Times New Roman"/>
        </w:rPr>
        <w:t>Ultimul element al avertizării este subliniat în pasajul precedent. Mesajul reprezentat ca glasul împotriva „întregului popor” este Evanghelia veșnică, care identifică necesitatea de a împlini cerințele Evangheliei pentru a fi mântuit. Prima cerință a Evangheliei veșnice este să ne temem de Dumnezeu, iar această teamă se întemeiază pe realitatea că păcatele noastre au fost cele care L-au așezat pe Hristos, Fiul Dumnezeului celui viu, pe cruce.</w:t>
      </w:r>
    </w:p>
    <w:p>
      <w:pPr>
        <w:pStyle w:val="ArticleBody"/>
        <w:jc w:val="left"/>
      </w:pPr>
      <w:r>
        <w:rPr>
          <w:rFonts w:ascii="Times New Roman" w:hAnsi="Times New Roman" w:eastAsia="Times New Roman" w:cs="Times New Roman"/>
        </w:rPr>
        <w:t>Fiecare element al solului către Ierusalim, în timpul celor șapte ani ai slujirii sale, reprezenta Evanghelia veșnică, aceeași Evanghelie care a fost prezentată în cei șapte ani în care Hristos a întărit legământul cu mulți, din anul 27 până în anul 34. Ea este, de asemenea, Evanghelia veșnică proclamată în ultimele două perioade ale zilelor de pe urmă și este specifică mesajului ploii târzii, fiind mesajul Islamului din cel de-al treilea Vai. Ea identifică sigilarea celor o sută patruzeci și patru de mii, despărțirea grâului de neghină, starea laodiceană a neghinei și întreita aplicare a profeției ca simbol al metodologiei ploii târzii, care este „linie peste linie”.</w:t>
      </w:r>
    </w:p>
    <w:p>
      <w:pPr>
        <w:pStyle w:val="ArticleBody"/>
        <w:jc w:val="left"/>
      </w:pPr>
      <w:r>
        <w:rPr>
          <w:rFonts w:ascii="Times New Roman" w:hAnsi="Times New Roman" w:eastAsia="Times New Roman" w:cs="Times New Roman"/>
        </w:rPr>
        <w:t>Mesajul celor șapte ani din acea istorie este așezat profetic în cadrul „zilelor răzbunării”, care au făcut parte din chiar prima menționare a soliei și lucrării lui Hristos, iar solia și lucrarea Sa urmează să fie repetate în zilele din urmă de către cei o sută patruzeci și patru de mii. Ei își vor identifica atunci solia în cadrul profetic al „zilelor răzbunării lui Dumnezeu”. Există două tipuri biblice ale „răzbunării” lui Dumnezeu, reprezentate în Cuvântul Său: răzbunarea Sa asupra poporului Său și, de asemenea, răzbunarea Sa asupra vrăjmașilor Săi.</w:t>
      </w:r>
    </w:p>
    <w:p>
      <w:pPr>
        <w:pStyle w:val="ArticleBody"/>
        <w:jc w:val="left"/>
      </w:pPr>
      <w:r>
        <w:rPr>
          <w:rFonts w:ascii="Times New Roman" w:hAnsi="Times New Roman" w:eastAsia="Times New Roman" w:cs="Times New Roman"/>
        </w:rPr>
        <w:t>Cele „șapte vremi” din Leviticul douăzeci și șase ilustrează răzbunarea lui Dumnezeu asupra poporului Său răzvrătit, iar acea răzbunare include călcarea în picioare, literală și spirituală, a sanctuarului și a oștirii. În cadrul simbolismului călcării în picioare a sanctuarului și a oștirii este reprezentat, de asemenea, simbolismul răzbunării lui Dumnezeu asupra vrăjmașilor Săi. În zilele de pe urmă, răzbunarea lui Dumnezeu împotriva poporului Său este reprezentată ca vărsarea din gură a adventismului laodicean la legea duminicală care urmează să vină în curând. La acel waymark începe, de asemenea, răzbunarea Sa asupra Babilonului modern.</w:t>
      </w:r>
    </w:p>
    <w:p>
      <w:pPr>
        <w:pStyle w:val="ArticleBody"/>
        <w:jc w:val="left"/>
      </w:pPr>
      <w:r>
        <w:rPr>
          <w:rFonts w:ascii="Leelawadee UI" w:hAnsi="Leelawadee UI" w:eastAsia="Leelawadee UI" w:cs="Leelawadee UI"/>
        </w:rPr>
        <w:t>ការជំនុំជម្រះស៊ើបអង្កេតលើមនុស្សរស់</w:t>
      </w:r>
      <w:r>
        <w:rPr>
          <w:rFonts w:ascii="Times New Roman" w:hAnsi="Times New Roman" w:eastAsia="Times New Roman" w:cs="Times New Roman"/>
        </w:rPr>
        <w:t xml:space="preserve"> </w:t>
      </w:r>
      <w:r>
        <w:rPr>
          <w:rFonts w:ascii="Leelawadee UI" w:hAnsi="Leelawadee UI" w:eastAsia="Leelawadee UI" w:cs="Leelawadee UI"/>
        </w:rPr>
        <w:t>ចំពោះអាដវេនទីសម៍ឡាវដីកា</w:t>
      </w:r>
      <w:r>
        <w:rPr>
          <w:rFonts w:ascii="Times New Roman" w:hAnsi="Times New Roman" w:eastAsia="Times New Roman" w:cs="Times New Roman"/>
        </w:rPr>
        <w:t xml:space="preserve"> </w:t>
      </w:r>
      <w:r>
        <w:rPr>
          <w:rFonts w:ascii="Leelawadee UI" w:hAnsi="Leelawadee UI" w:eastAsia="Leelawadee UI" w:cs="Leelawadee UI"/>
        </w:rPr>
        <w:t>ដែលបន្ទាប់មកត្រូវបានតាមដោយការជំនុំជម្រះអនុវត្តទោសលើស្ត្រីពេស្យានៃទីរ៉ុស</w:t>
      </w:r>
      <w:r>
        <w:rPr>
          <w:rFonts w:ascii="Times New Roman" w:hAnsi="Times New Roman" w:eastAsia="Times New Roman" w:cs="Times New Roman"/>
        </w:rPr>
        <w:t xml:space="preserve"> </w:t>
      </w:r>
      <w:r>
        <w:rPr>
          <w:rFonts w:ascii="Leelawadee UI" w:hAnsi="Leelawadee UI" w:eastAsia="Leelawadee UI" w:cs="Leelawadee UI"/>
        </w:rPr>
        <w:t>និងលើសត្វតិរច្ឆានដែលនាងជិះលើ</w:t>
      </w:r>
      <w:r>
        <w:rPr>
          <w:rFonts w:ascii="Times New Roman" w:hAnsi="Times New Roman" w:eastAsia="Times New Roman" w:cs="Times New Roman"/>
        </w:rPr>
        <w:t xml:space="preserve"> </w:t>
      </w:r>
      <w:r>
        <w:rPr>
          <w:rFonts w:ascii="Leelawadee UI" w:hAnsi="Leelawadee UI" w:eastAsia="Leelawadee UI" w:cs="Leelawadee UI"/>
        </w:rPr>
        <w:t>ហើយគ្រប់គ្រងលើវា</w:t>
      </w:r>
      <w:r>
        <w:rPr>
          <w:rFonts w:ascii="Times New Roman" w:hAnsi="Times New Roman" w:eastAsia="Times New Roman" w:cs="Times New Roman"/>
        </w:rPr>
        <w:t xml:space="preserve"> </w:t>
      </w:r>
      <w:r>
        <w:rPr>
          <w:rFonts w:ascii="Leelawadee UI" w:hAnsi="Leelawadee UI" w:eastAsia="Leelawadee UI" w:cs="Leelawadee UI"/>
        </w:rPr>
        <w:t>នោះជាប្រវត្តិសាស្ត្រព្យាករណ៍នៃថ្ងៃចុងក្រោយ</w:t>
      </w:r>
      <w:r>
        <w:rPr>
          <w:rFonts w:ascii="Times New Roman" w:hAnsi="Times New Roman" w:eastAsia="Times New Roman" w:cs="Times New Roman"/>
        </w:rPr>
        <w:t xml:space="preserve"> </w:t>
      </w:r>
      <w:r>
        <w:rPr>
          <w:rFonts w:ascii="Leelawadee UI" w:hAnsi="Leelawadee UI" w:eastAsia="Leelawadee UI" w:cs="Leelawadee UI"/>
        </w:rPr>
        <w:t>ដែលនៅទីនោះផលប៉ះពាល់នៃគ្រប់និមិត្តទស្សន៍ត្រូវបានសម្រេច។</w:t>
      </w:r>
      <w:r>
        <w:rPr>
          <w:rFonts w:ascii="Times New Roman" w:hAnsi="Times New Roman" w:eastAsia="Times New Roman" w:cs="Times New Roman"/>
        </w:rPr>
        <w:t xml:space="preserve"> </w:t>
      </w:r>
      <w:r>
        <w:rPr>
          <w:rFonts w:ascii="Leelawadee UI" w:hAnsi="Leelawadee UI" w:eastAsia="Leelawadee UI" w:cs="Leelawadee UI"/>
        </w:rPr>
        <w:t>និមិត្តទស្សន៍គ្រប់យ៉ាងត្រូវតែយកមកអនុវត្តចំពោះសម័យព្យាករណ៍ទាំងពីរនោះ</w:t>
      </w:r>
      <w:r>
        <w:rPr>
          <w:rFonts w:ascii="Times New Roman" w:hAnsi="Times New Roman" w:eastAsia="Times New Roman" w:cs="Times New Roman"/>
        </w:rPr>
        <w:t xml:space="preserve"> </w:t>
      </w:r>
      <w:r>
        <w:rPr>
          <w:rFonts w:ascii="Leelawadee UI" w:hAnsi="Leelawadee UI" w:eastAsia="Leelawadee UI" w:cs="Leelawadee UI"/>
        </w:rPr>
        <w:t>ពីព្រោះវិធីសាស្ត្រនៃភ្លៀងក្រោយ</w:t>
      </w:r>
      <w:r>
        <w:rPr>
          <w:rFonts w:ascii="Times New Roman" w:hAnsi="Times New Roman" w:eastAsia="Times New Roman" w:cs="Times New Roman"/>
        </w:rPr>
        <w:t xml:space="preserve"> </w:t>
      </w:r>
      <w:r>
        <w:rPr>
          <w:rFonts w:ascii="Leelawadee UI" w:hAnsi="Leelawadee UI" w:eastAsia="Leelawadee UI" w:cs="Leelawadee UI"/>
        </w:rPr>
        <w:t>គឺជាការអនុវត្តខ្សែព្យាករណ៍មួយលើខ្សែព្យាករណ៍មួយទៀត។</w:t>
      </w:r>
      <w:r>
        <w:rPr>
          <w:rFonts w:ascii="Times New Roman" w:hAnsi="Times New Roman" w:eastAsia="Times New Roman" w:cs="Times New Roman"/>
        </w:rPr>
        <w:t xml:space="preserve"> </w:t>
      </w:r>
      <w:r>
        <w:rPr>
          <w:rFonts w:ascii="Leelawadee UI" w:hAnsi="Leelawadee UI" w:eastAsia="Leelawadee UI" w:cs="Leelawadee UI"/>
        </w:rPr>
        <w:t>នៅដើមនៃប្រវត្តិសាស្ត្រទាំងពីរនោះ</w:t>
      </w:r>
      <w:r>
        <w:rPr>
          <w:rFonts w:ascii="Times New Roman" w:hAnsi="Times New Roman" w:eastAsia="Times New Roman" w:cs="Times New Roman"/>
        </w:rPr>
        <w:t xml:space="preserve"> </w:t>
      </w:r>
      <w:r>
        <w:rPr>
          <w:rFonts w:ascii="Leelawadee UI" w:hAnsi="Leelawadee UI" w:eastAsia="Leelawadee UI" w:cs="Leelawadee UI"/>
        </w:rPr>
        <w:t>ព្រះយេស៊ូវបានកំណត់</w:t>
      </w:r>
      <w:r>
        <w:rPr>
          <w:rFonts w:ascii="Times New Roman" w:hAnsi="Times New Roman" w:eastAsia="Times New Roman" w:cs="Times New Roman"/>
        </w:rPr>
        <w:t xml:space="preserve"> «</w:t>
      </w:r>
      <w:r>
        <w:rPr>
          <w:rFonts w:ascii="Leelawadee UI" w:hAnsi="Leelawadee UI" w:eastAsia="Leelawadee UI" w:cs="Leelawadee UI"/>
        </w:rPr>
        <w:t>ទីសម្គាល់</w:t>
      </w:r>
      <w:r>
        <w:rPr>
          <w:rFonts w:ascii="Times New Roman" w:hAnsi="Times New Roman" w:eastAsia="Times New Roman" w:cs="Times New Roman"/>
        </w:rPr>
        <w:t xml:space="preserve">» </w:t>
      </w:r>
      <w:r>
        <w:rPr>
          <w:rFonts w:ascii="Leelawadee UI" w:hAnsi="Leelawadee UI" w:eastAsia="Leelawadee UI" w:cs="Leelawadee UI"/>
        </w:rPr>
        <w:t>មួយ</w:t>
      </w:r>
      <w:r>
        <w:rPr>
          <w:rFonts w:ascii="Times New Roman" w:hAnsi="Times New Roman" w:eastAsia="Times New Roman" w:cs="Times New Roman"/>
        </w:rPr>
        <w:t xml:space="preserve"> </w:t>
      </w:r>
      <w:r>
        <w:rPr>
          <w:rFonts w:ascii="Leelawadee UI" w:hAnsi="Leelawadee UI" w:eastAsia="Leelawadee UI" w:cs="Leelawadee UI"/>
        </w:rPr>
        <w:t>ដែលបញ្ជាក់ថា</w:t>
      </w:r>
      <w:r>
        <w:rPr>
          <w:rFonts w:ascii="Times New Roman" w:hAnsi="Times New Roman" w:eastAsia="Times New Roman" w:cs="Times New Roman"/>
        </w:rPr>
        <w:t xml:space="preserve"> </w:t>
      </w:r>
      <w:r>
        <w:rPr>
          <w:rFonts w:ascii="Leelawadee UI" w:hAnsi="Leelawadee UI" w:eastAsia="Leelawadee UI" w:cs="Leelawadee UI"/>
        </w:rPr>
        <w:t>អ្នកដែលរស់នៅក្នុងចំណុចនោះ</w:t>
      </w:r>
      <w:r>
        <w:rPr>
          <w:rFonts w:ascii="Times New Roman" w:hAnsi="Times New Roman" w:eastAsia="Times New Roman" w:cs="Times New Roman"/>
        </w:rPr>
        <w:t xml:space="preserve"> </w:t>
      </w:r>
      <w:r>
        <w:rPr>
          <w:rFonts w:ascii="Leelawadee UI" w:hAnsi="Leelawadee UI" w:eastAsia="Leelawadee UI" w:cs="Leelawadee UI"/>
        </w:rPr>
        <w:t>ស្ថិតនៅក្នុងជំនាន់ចុងក្រោយនៃប្រវត្តិសាស្ត្រផែនដី។</w:t>
      </w:r>
    </w:p>
    <w:p>
      <w:pPr>
        <w:pStyle w:val="ArticleBody"/>
        <w:jc w:val="left"/>
      </w:pPr>
      <w:r>
        <w:rPr>
          <w:rFonts w:ascii="Times New Roman" w:hAnsi="Times New Roman" w:eastAsia="Times New Roman" w:cs="Times New Roman"/>
        </w:rPr>
        <w:t>Prima perioadă a început când a început sigilarea celor o sută patruzeci și patru de mii, la 11 septembrie 2001. În cadrul acelui waymark a fost așezat „semnul” pe care Hristos l-a identificat în Luca 21.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„Acum, fraților, Dumnezeu dorește ca noi să ne luăm poziția alături de omul care poartă felinarul; dorim să ne luăm poziția acolo unde este lumina și unde Dumnezeu a dat trâmbiței un sunet lămurit. Dorim să dăm trâmbiței un sunet lămurit. Am fost în nedumerire și am fost în îndoială, iar bisericile sunt gata să moară. Dar acum citim aici: «După aceste lucruri am văzut un alt înger coborându-se din cer, având mare putere; și pământul s-a luminat de slava lui. Și a strigat cu glas puternic, zicând: Babilonul cel mare a căzut, a căzut și a ajuns locaș al demonilor, temniță a oricărui duh necurat și colivie a oricărei păsări necurate și urâcioase» [Apocalipsa 18:1, 2].”</w:t>
      </w:r>
    </w:p>
    <w:p>
      <w:pPr>
        <w:pStyle w:val="ArticleScripture"/>
        <w:jc w:val="left"/>
      </w:pPr>
      <w:r>
        <w:rPr>
          <w:rFonts w:ascii="Times New Roman" w:hAnsi="Times New Roman" w:eastAsia="Times New Roman" w:cs="Times New Roman"/>
        </w:rPr>
        <w:t>„Ei bine, cum vom ajunge să cunoaștem ceva despre acel mesaj dacă nu suntem într-o stare în care să putem recunoaște ceva din lumina cerului atunci când vine la noi? Și vom primi tot atât de repede cea mai întunecată amăgire atunci când vine la noi de la cineva care este de acord cu noi, când nu avem nici măcar o fărâmă de dovadă că Duhul lui Dumnezeu l-a trimis. Hristos a spus: «Eu am venit în Numele Tatălui Meu, și nu Mă primiți» [vezi Ioan 5:43]. Or, tocmai aceasta este lucrarea care s-a desfășurat aici încă de la adunarea de la Minneapolis. Pentru că Dumnezeu trimite un mesaj în Numele Său care nu este în acord cu ideile voastre, de aceea [voi trageți concluzia] că nu poate fi un mesaj de la Dumnezeu.” Sermons and Talks, volumul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optsprezece</dc:title>
  <dc:subject>Avertismentul profetic către Ierusalim: o înfățișare simbolică a evenimentelor de la sfârșitul vremurilor</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