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unu</w:t>
      </w:r>
    </w:p>
    <w:p>
      <w:pPr>
        <w:pStyle w:val="ArticleSubtitle"/>
        <w:jc w:val="left"/>
      </w:pPr>
      <w:r>
        <w:rPr>
          <w:rFonts w:ascii="Arial" w:hAnsi="Arial" w:eastAsia="Arial" w:cs="Arial"/>
        </w:rPr>
        <w:t>Cu măsură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Lucrăm la capitolul douăzeci și șapte din Isaia, căci acesta stabilește contextul pentru capitolele următoare din Isaia. Acele capitole următoare identifică ploaia târzie ca fiind metodologia biblică corectă. Această metodologie, atunci când este recunoscută și aplicată, descoperă mesajul profetic care, dacă este primit, produce o experiență corespunzătoare.</w:t>
      </w:r>
    </w:p>
    <w:p>
      <w:pPr>
        <w:pStyle w:val="ArticleBody"/>
        <w:jc w:val="left"/>
      </w:pPr>
      <w:r>
        <w:rPr>
          <w:rFonts w:ascii="Times New Roman" w:hAnsi="Times New Roman" w:eastAsia="Times New Roman" w:cs="Times New Roman"/>
        </w:rPr>
        <w:t>În ziua de 11 septembrie 2001, cântarea care trebuie cântată fostului popor al legământului al lui Dumnezeu, care este poporul Adventist de Ziua a Șaptea, este că ei sunt trecuți cu vederea ca popor al lui Dumnezeu, deoarece nu au adus roadele pe care Dumnezeu intenționase ca via Sa să le producă. Cântarea trebuia să fie întemeiată pe relația de legământ, reprezentată prin via pe care Dumnezeu o sădise și, de asemenea, prin respingerea de către ei a pietrei de poticnire în 1863. Ei deveniseră Laodicea în 1856 și, timp de șapte ani, sau „șapte vremi”, sau două mii cinci sute douăzeci de zile, Dumnezeu a căutat intrare, dar ei I-au închis ușa în 1863.</w:t>
      </w:r>
    </w:p>
    <w:p>
      <w:pPr>
        <w:pStyle w:val="ArticleBody"/>
        <w:jc w:val="left"/>
      </w:pPr>
      <w:r>
        <w:rPr>
          <w:rFonts w:ascii="Times New Roman" w:hAnsi="Times New Roman" w:eastAsia="Times New Roman" w:cs="Times New Roman"/>
        </w:rPr>
        <w:t>Оты 11 сентября 2001 года они связываются в связки в преддверии того, как будут окончательно извергнуты из Его уст при воскресном законе. Весть, которую надлежит возвещать адвентизму от 11 сентября 2001 года, — это Лаодикийская весть, то есть весть о винограднике, содержащая камень преткновения, сокрушающий всякого, кто отказывается «увидеть» и «вкусить» драгоценный камень. Обетование лаодикийцам в отрывке Исаии состоит в том, что у всякого адвентиста, решающего принять это последнее предостережение, ещё есть время «ухватиться за» Христову «силу, чтобы» он «мог заключить мир с» Христом, ибо Христос всё ещё желает «заключить мир с» ним. Но при полуночном крике, непосредственно перед скоро грядущим воскресным законом, эта возможность навеки прекращается.</w:t>
      </w:r>
    </w:p>
    <w:p>
      <w:pPr>
        <w:pStyle w:val="ArticleBody"/>
        <w:jc w:val="left"/>
      </w:pPr>
      <w:r>
        <w:rPr>
          <w:rFonts w:ascii="Times New Roman" w:hAnsi="Times New Roman" w:eastAsia="Times New Roman" w:cs="Times New Roman"/>
        </w:rPr>
        <w:t>Mubihe cy’igihe cyatangiye ku wa 11 Nzeri 2001, Imana yasezeranye ko abari “kera batari ubwoko,” “umuzi uvuye mu butaka bwumye,” baz “ashinga imizi,” “barabye kandi bagashibuka, bakuzuza isi yose imbuto.” Igitera umuzi wa Yesi kurabya no gushibuka ni imvura y’itumba, kuko uwo muzi ugomba kurabya no gushibuka wagenewe mu buryo bw’ubuhanuzi kuba ibendera rishyirwaho hejuru, kandi iryo bendera ni ryo muzi wa Yesi.</w:t>
      </w:r>
    </w:p>
    <w:p>
      <w:pPr>
        <w:pStyle w:val="ArticleScripture"/>
        <w:jc w:val="left"/>
      </w:pPr>
      <w:r>
        <w:rPr>
          <w:rFonts w:ascii="Times New Roman" w:hAnsi="Times New Roman" w:eastAsia="Times New Roman" w:cs="Times New Roman"/>
        </w:rPr>
        <w:t>Și în ziua aceea va fi o rădăcină a lui Isai, care va sta ca un steag pentru popoare; neamurile o vor căuta, iar locul lui de odihnă va fi slăvit. Isaia 11:10.</w:t>
      </w:r>
    </w:p>
    <w:p>
      <w:pPr>
        <w:pStyle w:val="ArticleBody"/>
        <w:jc w:val="left"/>
      </w:pPr>
      <w:r>
        <w:rPr>
          <w:rFonts w:ascii="Times New Roman" w:hAnsi="Times New Roman" w:eastAsia="Times New Roman" w:cs="Times New Roman"/>
        </w:rPr>
        <w:t>Ploaia târzie a făcut ca rădăcina lui Iese să înflorească și să odrăslească începând cu 11 septembrie 2001, iar la legea duminicală care se apropie curând rădăcina va umple tot pământul cu rod. Legea duminicală din capitolul douăzeci și șapte al cărții Isaia este istoria progresivă care este reprezentată, de asemenea, în capitolele unu până la trei din cartea lui Daniel. Ploaia târzie a început să stropească atunci când neamurile s-au mâniat la 11 septembrie 2001, odată cu eliberarea și apoi restrângerea imediată a islamului, ca a treia Vai.</w:t>
      </w:r>
    </w:p>
    <w:p>
      <w:pPr>
        <w:pStyle w:val="ArticleScripture"/>
        <w:jc w:val="left"/>
      </w:pPr>
      <w:r>
        <w:rPr>
          <w:rFonts w:ascii="Times New Roman" w:hAnsi="Times New Roman" w:eastAsia="Times New Roman" w:cs="Times New Roman"/>
        </w:rPr>
        <w:t>„Începutul acelui timp de strâmtorare”, menționat aici, nu se referă la timpul când plăgile vor începe să fie revărsate, ci la o scurtă perioadă chiar înainte ca ele să fie revărsate, în timp ce Hristos este în sanctuar. În acel timp, pe când lucrarea de mântuire se încheie, necazul va veni peste pământ, iar națiunile se vor mânia, însă vor fi ținute în frâu, astfel încât să nu împiedice lucrarea îngerului al treilea. În acel timp, va veni „ploaia târzie”, sau înviorarea de la fața Domnului, pentru a da putere glasului celui tare al îngerului al treilea și pentru a-i pregăti pe sfinți să stea în picioare în perioada când cele șapte plăgi de pe urmă vor fi revărsate.” Scrieri timpurii, 85.</w:t>
      </w:r>
    </w:p>
    <w:p>
      <w:pPr>
        <w:pStyle w:val="ArticleBody"/>
        <w:jc w:val="left"/>
      </w:pPr>
      <w:r>
        <w:rPr>
          <w:rFonts w:ascii="Times New Roman" w:hAnsi="Times New Roman" w:eastAsia="Times New Roman" w:cs="Times New Roman"/>
        </w:rPr>
        <w:t>En el pasaje, la hermana White aclara que hay un breve período durante el cual la salvación todavía está abierta. El “tiempo de angustia” al que ella se refiere es distinto del gran tiempo de angustia, que comienza cuando el tiempo de gracia se cierra por completo. En el adventismo, con razón se le denomina “el pequeño tiempo de angustia” en relación con el gran tiempo de angustia que comienza cuando Miguel se levanta. El “pequeño tiempo de angustia” representa el período en que la ruina nacional comienza con la ley dominical que está por venir, y continúa hasta que se cierra el tiempo de gracia.</w:t>
      </w:r>
    </w:p>
    <w:p>
      <w:pPr>
        <w:pStyle w:val="ArticleBody"/>
        <w:jc w:val="left"/>
      </w:pPr>
      <w:r>
        <w:rPr>
          <w:rFonts w:ascii="Times New Roman" w:hAnsi="Times New Roman" w:eastAsia="Times New Roman" w:cs="Times New Roman"/>
        </w:rPr>
        <w:t>În istoria care se întinde de la 11 septembrie 2001 până la legea duminicală, curățirea și judecata finală a adventismului sunt ilustrate ca având loc în timpul „stropirii” ploii târzii. Acea perioadă în care ploaia târzie, care este de asemenea „înviorarea”, începe ca o „stropire”, dar înaintează până la revărsarea deplină la legea duminicală. În acea perioadă, care începe atunci când islamul celui de-al treilea Vai mânie neamurile, ploaia târzie începe să cadă, iar unii recunosc ploaia târzie și o primesc, iar alții nu recunosc ploaia târzie. Unii recunosc că se întâmplă ceva, dar nu înțeleg ce este și se împotrivesc acestuia.</w:t>
      </w:r>
    </w:p>
    <w:p>
      <w:pPr>
        <w:pStyle w:val="ArticleScripture"/>
        <w:jc w:val="left"/>
      </w:pPr>
      <w:r>
        <w:rPr>
          <w:rFonts w:ascii="Times New Roman" w:hAnsi="Times New Roman" w:eastAsia="Times New Roman" w:cs="Times New Roman"/>
        </w:rPr>
        <w:t>„Mulți au dat greș, într-o foarte mare măsură, în a primi ploaia timpurie. Ei nu au dobândit toate binecuvântările pe care Dumnezeu le-a pregătit astfel pentru ei. Ei se așteaptă ca lipsa să fie suplinită de ploaia târzie. Când va fi revărsat cel mai bogat belșug de har, ei intenționează să-și deschidă inimile pentru a-l primi. Ei fac o greșeală teribilă. Lucrarea pe care Dumnezeu a început-o în inima omenească prin darea luminii și cunoștinței Sale trebuie să înainteze necontenit. Fiecare individ trebuie să-și dea seama de propria lui nevoie. Inima trebuie să fie golită de orice întinare și curățită pentru locuirea lăuntrică a Duhului. Prin mărturisirea și părăsirea păcatului, prin rugăciune stăruitoare și prin consacrarea lor lui Dumnezeu s-au pregătit primii ucenici pentru revărsarea Duhului Sfânt în Ziua Cincizecimii. Aceeași lucrare, numai că într-o măsură mai mare, trebuie făcută acum. Atunci, instrumentul omenesc nu avea decât să ceară binecuvântarea și să aștepte ca Domnul să desăvârșească lucrarea privitoare la el. Dumnezeu este Acela care a început lucrarea și El Își va încheia lucrarea, făcându-l pe om desăvârșit în Isus Hristos. Dar nu trebuie să existe nicio neglijare a harului reprezentat de ploaia timpurie. Numai aceia care trăiesc potrivit luminii pe care o au vor primi o lumină mai mare. Dacă nu înaintăm zilnic în manifestarea virtuților creștine active, nu vom recunoaște manifestările Duhului Sfânt în ploaia târzie. Ea poate cădea peste inimile din jurul nostru, dar noi nu o vom discerne și nu o vom primi.” Testimonies to Ministers, 506, 507.</w:t>
      </w:r>
    </w:p>
    <w:p>
      <w:pPr>
        <w:pStyle w:val="ArticleBody"/>
        <w:jc w:val="left"/>
      </w:pPr>
      <w:r>
        <w:rPr>
          <w:rFonts w:ascii="Times New Roman" w:hAnsi="Times New Roman" w:eastAsia="Times New Roman" w:cs="Times New Roman"/>
        </w:rPr>
        <w:t>Ploaia târzie cade acum și sunt unii care o recunosc și, prin urmare, o primesc, și sunt alții care nu o recunosc și, prin urmare, nu o primesc. Ploaia târzie trebuie să fie recunoscută pentru a fi primită. Ploaia târzie nu este doar o simplă experiență, ci este o experiență produsă de un mesaj; însă mesajul poate fi primit numai atunci când este folosită metodologia corectă pentru a stabili mesajul. Fără recunoașterea metodologiei care stabilește mesajul ploii târzii, este practic imposibil să fie înțelese lecțiile profetice reprezentate în ridicarea și căderea împărățiilor prezentate în cărțile lui Daniel și Apocalipsa.</w:t>
      </w:r>
    </w:p>
    <w:p>
      <w:pPr>
        <w:pStyle w:val="ArticleBody"/>
        <w:jc w:val="left"/>
      </w:pPr>
      <w:r>
        <w:rPr>
          <w:rFonts w:ascii="Times New Roman" w:hAnsi="Times New Roman" w:eastAsia="Times New Roman" w:cs="Times New Roman"/>
        </w:rPr>
        <w:t>Steagul care este înălțat pentru lume este identificat de Isaia drept „rădăcina lui Iesei”, iar în capitolul douăzeci și șapte, cei care „vin din Iacov” „prind rădăcină”. Cei care sunt „rădăcina lui Iesei” sunt tot acolo identificați și ca „Israel” și sunt aceia care mai întâi înfloresc și înmuguresc, iar apoi umplu lumea de rod. Legile naturii nu contrazic legile profeției, căci Același Dătător al Legii a produs atât natura, cât și profeția. Înainte ca o plantă să aducă rod, ea trebuie mai întâi să iasă din starea de repaus, lucru dovedit prin muguri, iar apoi prin flori. Israelul spiritual, care este „rădăcina lui Iesei”, primește o revărsare progresivă a ploii. Aceasta începe cu o „stropire” și se intensifică până la o revărsare deplină, când lumea este umplută de rodul prezentat de steag.</w:t>
      </w:r>
    </w:p>
    <w:p>
      <w:pPr>
        <w:pStyle w:val="ArticleBody"/>
        <w:jc w:val="left"/>
      </w:pPr>
      <w:r>
        <w:rPr>
          <w:rFonts w:ascii="Times New Roman" w:hAnsi="Times New Roman" w:eastAsia="Times New Roman" w:cs="Times New Roman"/>
        </w:rPr>
        <w:t>În capitolul douăzeci și șapte din Isaia, punctul de început al stropirii ploii este reprezentat ca având loc atunci când mugurii „dau în floare”. Când ei mai întâi „dau în floare”, ploaia este identificată ca fiind revărsată „cu măsură”. „Cu măsură, când dă în floare.” La 11 septembrie 2001, stropirea ploii târzii a început să fie revărsată „cu măsură”, căci la acel timp grâul și neghina, sau cei înțelepți și cei nechibzuiți, erau încă amestecați împreună.</w:t>
      </w:r>
    </w:p>
    <w:p>
      <w:pPr>
        <w:pStyle w:val="ArticleScripture"/>
        <w:jc w:val="left"/>
      </w:pPr>
      <w:r>
        <w:rPr>
          <w:rFonts w:ascii="Times New Roman" w:hAnsi="Times New Roman" w:eastAsia="Times New Roman" w:cs="Times New Roman"/>
        </w:rPr>
        <w:t>„Marea revărsare a Duhului lui Dumnezeu, care luminează întregul pământ cu slava Sa, nu va veni până când nu vom avea un popor luminat, care să știe din experiență ce înseamnă să fie împreună-lucrători cu Dumnezeu. Când vom avea o consacrare deplină, din toată inima, pentru slujirea lui Hristos, Dumnezeu va recunoaște acest fapt printr-o revărsare a Duhului Său fără măsură; însă aceasta nu se va întâmpla câtă vreme cea mai mare parte a bisericii nu sunt împreună-lucrători cu Dumnezeu. Dumnezeu nu-Și poate revărsa Duhul atunci când egoismul și îngăduința de sine sunt atât de vădite, când predomină un spirit care, dacă ar fi pus în cuvinte, ar exprima acel răspuns al lui Cain: «Sunt eu păzitorul fratelui meu?» Dacă adevărul pentru vremea aceasta, dacă semnele care se înmulțesc din toate părțile, care mărturisesc că sfârșitul tuturor lucrurilor este aproape, nu sunt suficiente pentru a trezi energia adormită a acelora care mărturisesc că cunosc adevărul, atunci întunericul, proporțional cu lumina care a strălucit, va cuprinde aceste suflete. Nu există nici măcar aparența unei scuze pentru nepăsarea lor, pe care să o poată aduce înaintea lui Dumnezeu în marea zi a socotelii finale. Nu va exista niciun motiv de invocat cu privire la faptul că nu au trăit, nu au umblat și nu au lucrat în lumina adevărului sacru al Cuvântului lui Dumnezeu și astfel nu au descoperit unei lumi întunecate de păcat, prin purtarea lor, prin compasiunea lor și prin zelul lor, că puterea și realitatea Evangheliei nu puteau fi contestate.” Review and Herald, 21 iulie 1896.</w:t>
      </w:r>
    </w:p>
    <w:p>
      <w:pPr>
        <w:pStyle w:val="ArticleBody"/>
        <w:jc w:val="left"/>
      </w:pPr>
      <w:r>
        <w:rPr>
          <w:rFonts w:ascii="Times New Roman" w:hAnsi="Times New Roman" w:eastAsia="Times New Roman" w:cs="Times New Roman"/>
        </w:rPr>
        <w:t>Isaia douăzeci și șapte identifică istoria începutului revărsării ploii târzii, când rădăcina odrăslește dintr-un pământ uscat, și apoi pe tot parcursul, până când pământul se umple de rod. Capitolul arată că „cu măsură, când va răsări, Te vei certa cu ea”. Când ploaia târzie este măsurată ca o „stropire”, Sora White afirmă că ploaia târzie „poate cădea pe inimile din jurul nostru, dar noi nu o vom deosebi și nici nu o vom primi”.</w:t>
      </w:r>
    </w:p>
    <w:p>
      <w:pPr>
        <w:pStyle w:val="ArticleBody"/>
        <w:jc w:val="left"/>
      </w:pPr>
      <w:r>
        <w:rPr>
          <w:rFonts w:ascii="Times New Roman" w:hAnsi="Times New Roman" w:eastAsia="Times New Roman" w:cs="Times New Roman"/>
        </w:rPr>
        <w:t>Prin aceasta, ea identifică o biserică alcătuită din cei care recunosc și cei care nu recunosc căderea ploii. În pasajul precedent, ea arată că, atunci când Dumnezeu revarsă fără măsură ploaia târzie, aceasta marchează momentul când nu mai există niciun amestec de fecioare înțelepte și nechibzuite, afirmând: „Când vom avea o consacrare deplină, din toată inima, pentru slujirea lui Hristos, Dumnezeu va recunoaște acest fapt printr-o revărsare a Duhului Său fără măsură; dar aceasta nu se va întâmpla câtă vreme cea mai mare parte a bisericii nu sunt împreună-lucrători cu Dumnezeu.”</w:t>
      </w:r>
    </w:p>
    <w:p>
      <w:pPr>
        <w:pStyle w:val="ArticleBody"/>
        <w:jc w:val="left"/>
      </w:pPr>
      <w:r>
        <w:rPr>
          <w:rFonts w:ascii="Times New Roman" w:hAnsi="Times New Roman" w:eastAsia="Times New Roman" w:cs="Times New Roman"/>
        </w:rPr>
        <w:t>Biserica, în cea mai mare parte a ei, sau majoritatea bisericii, este reprezentată în Matei douăzeci și cinci ca fecioare nechibzuite, căci, potrivit Scripturii, „mulți” sunt chemați, dar „puțini” sunt aleși. Cele înțelepte și cele nechibzuite sunt despărțite, prin providență, în criza de la miezul nopții, care precede apropiata lege duminicală. Această despărțire formează un popor care poate apoi să primească deplina revărsare a Duhului în ploaia târzie și să devină „neamul care se naște într-o zi”. Apoi rădăcina lui Iese va fi înălțată ca un steag și va umple lumea cu rod.</w:t>
      </w:r>
    </w:p>
    <w:p>
      <w:pPr>
        <w:pStyle w:val="ArticleBody"/>
        <w:jc w:val="left"/>
      </w:pPr>
      <w:r>
        <w:rPr>
          <w:rFonts w:ascii="Times New Roman" w:hAnsi="Times New Roman" w:eastAsia="Times New Roman" w:cs="Times New Roman"/>
        </w:rPr>
        <w:t>Isaya makumi maviri nenomwe inoratidza kuti apo mvura yokunaya kwokupedzisira yakatanga kudururwa “muchiyero”, musi wa11 Gunyana 2001, “muchapikisana nayo.” “Muchiyero, painotanga kubuda, muchapikisana nayo.” Chiitiko chomusi wa11 Gunyana 2001 chakabva chava nharo pakarepo munyika nomuchechi. Kusvikira nanhasi chaiye—anopfuura makore makumi maviri gare gare—kuchine kupokana nokuramba kuisa zviitiko izvozvo pachinhu chokuti chiito cheIslam, pachinzvimbo cheimwe nzira yorangano yevanotsigira utongi hwenyika yose. Nharo yakabatana nokusvika kwokusaswa kwemvura yokunaya kwokupedzisira yakatanga musi wa11 Gunyana 2001, asi nharo dzinoramba dzichiitwa munyika hadzisi “nharo” inotaurwa muShoko raMwari rechiporofita. Nharo yacho iri pamusoro pezviporofita zvakadai sechinotevera.</w:t>
      </w:r>
    </w:p>
    <w:p>
      <w:pPr>
        <w:pStyle w:val="ArticleScripture"/>
        <w:jc w:val="left"/>
      </w:pPr>
      <w:r>
        <w:rPr>
          <w:rFonts w:ascii="Times New Roman" w:hAnsi="Times New Roman" w:eastAsia="Times New Roman" w:cs="Times New Roman"/>
        </w:rPr>
        <w:t>„Cu o anumită ocazie, aflându-mă în orașul New York, am fost chemată, în timpul nopții, să privesc clădiri înălțându-se etaj după etaj către cer. Aceste clădiri erau garantate ca fiind incombustibile și erau ridicate spre glorificarea proprietarilor și constructorilor lor. Tot mai sus și încă și mai sus se înălțau aceste clădiri, iar în ele era folosit materialul cel mai costisitor. Cei cărora le aparțineau aceste clădiri nu se întrebau: «Cum Îl putem slăvi noi cel mai bine pe Dumnezeu?» Domnul nu era în gândurile lor.”</w:t>
      </w:r>
    </w:p>
    <w:p>
      <w:pPr>
        <w:pStyle w:val="ArticleScripture"/>
        <w:jc w:val="left"/>
      </w:pPr>
      <w:r>
        <w:rPr>
          <w:rFonts w:ascii="Times New Roman" w:hAnsi="Times New Roman" w:eastAsia="Times New Roman" w:cs="Times New Roman"/>
        </w:rPr>
        <w:t>„Am gândit: «O, dacă aceia care își investesc astfel mijloacele ar putea vedea calea lor așa cum o vede Dumnezeu! Ei grămădesc clădiri mărețe, dar cât de nebunească este, în ochii Cârmuitorului universului, planificarea și născocirea lor. Ei nu cercetează, cu toate puterile inimii și ale minții, cum L-ar putea slăvi pe Dumnezeu. Au pierdut din vedere aceasta, cea dintâi datorie a omului.»”</w:t>
      </w:r>
    </w:p>
    <w:p>
      <w:pPr>
        <w:pStyle w:val="ArticleScripture"/>
        <w:jc w:val="left"/>
      </w:pPr>
      <w:r>
        <w:rPr>
          <w:rFonts w:ascii="Times New Roman" w:hAnsi="Times New Roman" w:eastAsia="Times New Roman" w:cs="Times New Roman"/>
        </w:rPr>
        <w:t>„Na măsură ce aceste clădiri impunătoare se înălțau, proprietarii se bucurau, cu o mândrie ambițioasă, că aveau bani pe care să-i folosească pentru satisfacerea eului și pentru a stârni invidia vecinilor lor. O mare parte din banii pe care i-au investit astfel fusese obținută prin stoarcere, prin apăsarea celor săraci. Ei au uitat că în cer se păstrează un raport al fiecărei tranzacții de afaceri; fiecare învoială nedreaptă, fiecare faptă frauduloasă este consemnată acolo. Vine vremea când, prin frauda și insolenta lor, oamenii vor ajunge la un punct peste care Domnul nu le va îngădui să treacă, și vor învăța că îndelunga-răbdare a lui Iehova are o limită.”</w:t>
      </w:r>
    </w:p>
    <w:p>
      <w:pPr>
        <w:pStyle w:val="ArticleScripture"/>
        <w:jc w:val="left"/>
      </w:pPr>
      <w:r>
        <w:rPr>
          <w:rFonts w:ascii="Times New Roman" w:hAnsi="Times New Roman" w:eastAsia="Times New Roman" w:cs="Times New Roman"/>
        </w:rPr>
        <w:t>„Următoarea scenă care s-a desfășurat înaintea mea a fost o alarmă de incendiu. Oamenii priveau clădirile înalte și presupus ignifuge și spuneau: «Sunt în deplină siguranță.» Dar aceste clădiri au fost mistuite ca și cum ar fi fost făcute din smoală. Mașinile de pompieri nu au putut face nimic pentru a opri distrugerea. Pompierii nu au fost în stare să pună în funcțiune mașinile.” Testimonies, volumul 9, 12, 13.</w:t>
      </w:r>
    </w:p>
    <w:p>
      <w:pPr>
        <w:pStyle w:val="ArticleBody"/>
        <w:jc w:val="left"/>
      </w:pPr>
      <w:r>
        <w:rPr>
          <w:rFonts w:ascii="Times New Roman" w:hAnsi="Times New Roman" w:eastAsia="Times New Roman" w:cs="Times New Roman"/>
        </w:rPr>
        <w:t>Biserica Adventistă, imediat după 11 septembrie 2001, a căutat să ascundă de lume pasaje precum acesta. Cum s-ar putea ca acesta să nu fie despre New York City și despre clădirile de o înălțime uriașă, în care autospecialele de pompieri nu au putut opri incendiile care au urmat? Cum s-ar putea ca un astfel de pasaj din scrierile despre care Biserica Adventistă mărturisește că au fost scrise de o profetesă să nu fie proclamat de pe acoperișuri după o asemenea împlinire ca aceea?</w:t>
      </w:r>
    </w:p>
    <w:p>
      <w:pPr>
        <w:pStyle w:val="ArticleBody"/>
        <w:jc w:val="left"/>
      </w:pPr>
      <w:r>
        <w:rPr>
          <w:rFonts w:ascii="Times New Roman" w:hAnsi="Times New Roman" w:eastAsia="Times New Roman" w:cs="Times New Roman"/>
        </w:rPr>
        <w:t>Sosirea stropirii ploii târzii, care marchează sosirea „dezbaterii” profetice, identifică de asemenea răzvrătirea finală a adventismului, căci acolo ei resping pe deplin cuvintele clare și simple ale aceleia pe care o identifică drept profetesa rămășiței.</w:t>
      </w:r>
    </w:p>
    <w:p>
      <w:pPr>
        <w:pStyle w:val="ArticleScripture"/>
        <w:jc w:val="left"/>
      </w:pPr>
      <w:r>
        <w:rPr>
          <w:rFonts w:ascii="Times New Roman" w:hAnsi="Times New Roman" w:eastAsia="Times New Roman" w:cs="Times New Roman"/>
        </w:rPr>
        <w:t>„Sotona je... neprestano usmeren na podmetanje lažnog — da bi odveo od istine. Sama poslednja Sotonina obmana biće da učini bez dejstva svedočanstvo Duha Božjeg. „Gde nema utvare, narod propada“ (Priče Solomunove 29,18). Sotona će dovitljivo delovati, na različite načine i preko različitih oruđa, da poljulja poverenje Božjeg naroda ostatka u pravo svedočanstvo.</w:t>
      </w:r>
    </w:p>
    <w:p>
      <w:pPr>
        <w:pStyle w:val="ArticleScripture"/>
        <w:jc w:val="left"/>
      </w:pPr>
      <w:r>
        <w:rPr>
          <w:rFonts w:ascii="Times New Roman" w:hAnsi="Times New Roman" w:eastAsia="Times New Roman" w:cs="Times New Roman"/>
        </w:rPr>
        <w:t>„Vor fi aprinse o ură împotriva Mărturiilor, care este satanică. Lucrarea lui Satana va fi să zdruncine credința bisericilor în ele, din acest motiv: Satana nu poate avea o cale atât de deschisă pentru a-și introduce amăgirile și a lega sufletele în rătăcirile sale, dacă avertizările, mustrările și sfaturile Duhului lui Dumnezeu sunt luate în seamă.” Selected Messages, cartea 1, 48.</w:t>
      </w:r>
    </w:p>
    <w:p>
      <w:pPr>
        <w:pStyle w:val="ArticleBody"/>
        <w:jc w:val="left"/>
      </w:pPr>
      <w:r>
        <w:rPr>
          <w:rFonts w:ascii="Times New Roman" w:hAnsi="Times New Roman" w:eastAsia="Times New Roman" w:cs="Times New Roman"/>
        </w:rPr>
        <w:t>Legarea profetică atât a grâului, cât și a neghinei a început la 11 septembrie 2001, odată cu răzvrătirea împotriva Spiritului Profeției, care a marcat încheierea unei răzvrătiri progresive ce începuse împotriva Bibliei în 1863.</w:t>
      </w:r>
    </w:p>
    <w:p>
      <w:pPr>
        <w:pStyle w:val="ArticleScripture"/>
        <w:jc w:val="left"/>
      </w:pPr>
      <w:r>
        <w:rPr>
          <w:rFonts w:ascii="Times New Roman" w:hAnsi="Times New Roman" w:eastAsia="Times New Roman" w:cs="Times New Roman"/>
        </w:rPr>
        <w:t>„Noi, ca popor, mărturisim că avem adevărul înaintea oricărui alt popor de pe pământ. Atunci viața și caracterul nostru ar trebui să fie în armonie cu o asemenea credință. Ziua este chiar asupra noastră când cei neprihăniți vor fi legați ca grâul prețios în snopi pentru grânarul ceresc, în timp ce cei răi sunt, asemenea neghinei, adunați pentru focurile ultimei zile celei mari. Dar grâul și neghina «cresc împreună până la seceriș».” Mărturii, volumul 5, 100.</w:t>
      </w:r>
    </w:p>
    <w:p>
      <w:pPr>
        <w:pStyle w:val="ArticleBody"/>
        <w:jc w:val="left"/>
      </w:pPr>
      <w:r>
        <w:rPr>
          <w:rFonts w:ascii="Nirmala UI" w:hAnsi="Nirmala UI" w:eastAsia="Nirmala UI" w:cs="Nirmala UI"/>
        </w:rPr>
        <w:t>विस्मय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एडवेंटवाद</w:t>
      </w:r>
      <w:r>
        <w:rPr>
          <w:rFonts w:ascii="Times New Roman" w:hAnsi="Times New Roman" w:eastAsia="Times New Roman" w:cs="Times New Roman"/>
        </w:rPr>
        <w:t xml:space="preserve"> </w:t>
      </w:r>
      <w:r>
        <w:rPr>
          <w:rFonts w:ascii="Nirmala UI" w:hAnsi="Nirmala UI" w:eastAsia="Nirmala UI" w:cs="Nirmala UI"/>
        </w:rPr>
        <w:t>निम्नलिखित</w:t>
      </w:r>
      <w:r>
        <w:rPr>
          <w:rFonts w:ascii="Times New Roman" w:hAnsi="Times New Roman" w:eastAsia="Times New Roman" w:cs="Times New Roman"/>
        </w:rPr>
        <w:t xml:space="preserve"> </w:t>
      </w:r>
      <w:r>
        <w:rPr>
          <w:rFonts w:ascii="Nirmala UI" w:hAnsi="Nirmala UI" w:eastAsia="Nirmala UI" w:cs="Nirmala UI"/>
        </w:rPr>
        <w:t>अनुच्छेद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उपेक्षा</w:t>
      </w:r>
      <w:r>
        <w:rPr>
          <w:rFonts w:ascii="Times New Roman" w:hAnsi="Times New Roman" w:eastAsia="Times New Roman" w:cs="Times New Roman"/>
        </w:rPr>
        <w:t xml:space="preserve"> </w:t>
      </w:r>
      <w:r>
        <w:rPr>
          <w:rFonts w:ascii="Nirmala UI" w:hAnsi="Nirmala UI" w:eastAsia="Nirmala UI" w:cs="Nirmala UI"/>
        </w:rPr>
        <w:t>कैसे</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सीधे</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घोषित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भवन</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पड़ेंगे</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प्रकाशितवाक्य</w:t>
      </w:r>
      <w:r>
        <w:rPr>
          <w:rFonts w:ascii="Times New Roman" w:hAnsi="Times New Roman" w:eastAsia="Times New Roman" w:cs="Times New Roman"/>
        </w:rPr>
        <w:t xml:space="preserve"> </w:t>
      </w:r>
      <w:r>
        <w:rPr>
          <w:rFonts w:ascii="Nirmala UI" w:hAnsi="Nirmala UI" w:eastAsia="Nirmala UI" w:cs="Nirmala UI"/>
        </w:rPr>
        <w:t>अठारह</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„Da ли сада долази вест да сам објавила како Њујорк треба да буде збрисан плимним таласом? То никада нисам рекла. Рекла сам, док сам посматрала како се тамо подижу велике зграде, спрат за спратом: „Какви ће се страшни призори одиграти када Господ устане да силно потресе земљу! Тада ће се испунити речи из Откривења 18:1–3.“ Цело осамнаесто поглавље Откривења упозорење је на оно што долази на земљу. Али немам никакву посебну светлост у погледу онога што долази на Њујорк, осим што знам да ће једнога дана тамошње велике зграде бити оборене обртањем и превртањем Божје силе. Из светлости која ми је дата знам да је разарање у свету. Једна реч од Господа, један додир Његове силне моћи, и ове масивне грађевине пашће. Одиграће се призори чију страхоту не можемо ни замислити.“ Review and Herald, July 5, 1906.</w:t>
      </w:r>
    </w:p>
    <w:p>
      <w:pPr>
        <w:pStyle w:val="ArticleBody"/>
        <w:jc w:val="left"/>
      </w:pPr>
      <w:r>
        <w:rPr>
          <w:rFonts w:ascii="Nirmala UI" w:hAnsi="Nirmala UI" w:eastAsia="Nirmala UI" w:cs="Nirmala UI"/>
        </w:rPr>
        <w:t>പ്രശ്നമായി</w:t>
      </w:r>
      <w:r>
        <w:rPr>
          <w:rFonts w:ascii="Times New Roman" w:hAnsi="Times New Roman" w:eastAsia="Times New Roman" w:cs="Times New Roman"/>
        </w:rPr>
        <w:t xml:space="preserve"> </w:t>
      </w:r>
      <w:r>
        <w:rPr>
          <w:rFonts w:ascii="Nirmala UI" w:hAnsi="Nirmala UI" w:eastAsia="Nirmala UI" w:cs="Nirmala UI"/>
        </w:rPr>
        <w:t>ഇവിടെ</w:t>
      </w:r>
      <w:r>
        <w:rPr>
          <w:rFonts w:ascii="Times New Roman" w:hAnsi="Times New Roman" w:eastAsia="Times New Roman" w:cs="Times New Roman"/>
        </w:rPr>
        <w:t xml:space="preserve"> </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പരിഗണിക്കുന്നത്</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ഭാഗങ്ങൾ</w:t>
      </w:r>
      <w:r>
        <w:rPr>
          <w:rFonts w:ascii="Times New Roman" w:hAnsi="Times New Roman" w:eastAsia="Times New Roman" w:cs="Times New Roman"/>
        </w:rPr>
        <w:t xml:space="preserve"> 2001 </w:t>
      </w:r>
      <w:r>
        <w:rPr>
          <w:rFonts w:ascii="Nirmala UI" w:hAnsi="Nirmala UI" w:eastAsia="Nirmala UI" w:cs="Nirmala UI"/>
        </w:rPr>
        <w:t>സെപ്റ്റംബർ</w:t>
      </w:r>
      <w:r>
        <w:rPr>
          <w:rFonts w:ascii="Times New Roman" w:hAnsi="Times New Roman" w:eastAsia="Times New Roman" w:cs="Times New Roman"/>
        </w:rPr>
        <w:t xml:space="preserve"> 11-</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നിറവേറ്റപ്പെട്ടുവോ</w:t>
      </w:r>
      <w:r>
        <w:rPr>
          <w:rFonts w:ascii="Times New Roman" w:hAnsi="Times New Roman" w:eastAsia="Times New Roman" w:cs="Times New Roman"/>
        </w:rPr>
        <w:t xml:space="preserve"> </w:t>
      </w:r>
      <w:r>
        <w:rPr>
          <w:rFonts w:ascii="Nirmala UI" w:hAnsi="Nirmala UI" w:eastAsia="Nirmala UI" w:cs="Nirmala UI"/>
        </w:rPr>
        <w:t>എന്നതല്ല</w:t>
      </w:r>
      <w:r>
        <w:rPr>
          <w:rFonts w:ascii="Times New Roman" w:hAnsi="Times New Roman" w:eastAsia="Times New Roman" w:cs="Times New Roman"/>
        </w:rPr>
        <w:t xml:space="preserve">; </w:t>
      </w:r>
      <w:r>
        <w:rPr>
          <w:rFonts w:ascii="Nirmala UI" w:hAnsi="Nirmala UI" w:eastAsia="Nirmala UI" w:cs="Nirmala UI"/>
        </w:rPr>
        <w:t>അവ</w:t>
      </w:r>
      <w:r>
        <w:rPr>
          <w:rFonts w:ascii="Times New Roman" w:hAnsi="Times New Roman" w:eastAsia="Times New Roman" w:cs="Times New Roman"/>
        </w:rPr>
        <w:t xml:space="preserve"> </w:t>
      </w:r>
      <w:r>
        <w:rPr>
          <w:rFonts w:ascii="Nirmala UI" w:hAnsi="Nirmala UI" w:eastAsia="Nirmala UI" w:cs="Nirmala UI"/>
        </w:rPr>
        <w:t>നിർവിവാദമായി</w:t>
      </w:r>
      <w:r>
        <w:rPr>
          <w:rFonts w:ascii="Times New Roman" w:hAnsi="Times New Roman" w:eastAsia="Times New Roman" w:cs="Times New Roman"/>
        </w:rPr>
        <w:t xml:space="preserve"> </w:t>
      </w:r>
      <w:r>
        <w:rPr>
          <w:rFonts w:ascii="Nirmala UI" w:hAnsi="Nirmala UI" w:eastAsia="Nirmala UI" w:cs="Nirmala UI"/>
        </w:rPr>
        <w:t>അന്നേ</w:t>
      </w:r>
      <w:r>
        <w:rPr>
          <w:rFonts w:ascii="Times New Roman" w:hAnsi="Times New Roman" w:eastAsia="Times New Roman" w:cs="Times New Roman"/>
        </w:rPr>
        <w:t xml:space="preserve"> </w:t>
      </w:r>
      <w:r>
        <w:rPr>
          <w:rFonts w:ascii="Nirmala UI" w:hAnsi="Nirmala UI" w:eastAsia="Nirmala UI" w:cs="Nirmala UI"/>
        </w:rPr>
        <w:t>നിറവേറ്റപ്പെട്ടു</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അഭിമുഖീകരിക്കാൻ</w:t>
      </w:r>
      <w:r>
        <w:rPr>
          <w:rFonts w:ascii="Times New Roman" w:hAnsi="Times New Roman" w:eastAsia="Times New Roman" w:cs="Times New Roman"/>
        </w:rPr>
        <w:t xml:space="preserve"> </w:t>
      </w:r>
      <w:r>
        <w:rPr>
          <w:rFonts w:ascii="Nirmala UI" w:hAnsi="Nirmala UI" w:eastAsia="Nirmala UI" w:cs="Nirmala UI"/>
        </w:rPr>
        <w:t>ശ്രമിക്കുന്ന</w:t>
      </w:r>
      <w:r>
        <w:rPr>
          <w:rFonts w:ascii="Times New Roman" w:hAnsi="Times New Roman" w:eastAsia="Times New Roman" w:cs="Times New Roman"/>
        </w:rPr>
        <w:t xml:space="preserve"> </w:t>
      </w:r>
      <w:r>
        <w:rPr>
          <w:rFonts w:ascii="Nirmala UI" w:hAnsi="Nirmala UI" w:eastAsia="Nirmala UI" w:cs="Nirmala UI"/>
        </w:rPr>
        <w:t>പ്രശ്നം</w:t>
      </w:r>
      <w:r>
        <w:rPr>
          <w:rFonts w:ascii="Times New Roman" w:hAnsi="Times New Roman" w:eastAsia="Times New Roman" w:cs="Times New Roman"/>
        </w:rPr>
        <w:t xml:space="preserve"> </w:t>
      </w:r>
      <w:r>
        <w:rPr>
          <w:rFonts w:ascii="Nirmala UI" w:hAnsi="Nirmala UI" w:eastAsia="Nirmala UI" w:cs="Nirmala UI"/>
        </w:rPr>
        <w:t>അന്നത്തെ</w:t>
      </w:r>
      <w:r>
        <w:rPr>
          <w:rFonts w:ascii="Times New Roman" w:hAnsi="Times New Roman" w:eastAsia="Times New Roman" w:cs="Times New Roman"/>
        </w:rPr>
        <w:t xml:space="preserve"> </w:t>
      </w:r>
      <w:r>
        <w:rPr>
          <w:rFonts w:ascii="Nirmala UI" w:hAnsi="Nirmala UI" w:eastAsia="Nirmala UI" w:cs="Nirmala UI"/>
        </w:rPr>
        <w:t>സമയം</w:t>
      </w:r>
      <w:r>
        <w:rPr>
          <w:rFonts w:ascii="Times New Roman" w:hAnsi="Times New Roman" w:eastAsia="Times New Roman" w:cs="Times New Roman"/>
        </w:rPr>
        <w:t xml:space="preserve"> </w:t>
      </w:r>
      <w:r>
        <w:rPr>
          <w:rFonts w:ascii="Nirmala UI" w:hAnsi="Nirmala UI" w:eastAsia="Nirmala UI" w:cs="Nirmala UI"/>
        </w:rPr>
        <w:t>മുതൽ</w:t>
      </w:r>
      <w:r>
        <w:rPr>
          <w:rFonts w:ascii="Times New Roman" w:hAnsi="Times New Roman" w:eastAsia="Times New Roman" w:cs="Times New Roman"/>
        </w:rPr>
        <w:t xml:space="preserve"> </w:t>
      </w:r>
      <w:r>
        <w:rPr>
          <w:rFonts w:ascii="Nirmala UI" w:hAnsi="Nirmala UI" w:eastAsia="Nirmala UI" w:cs="Nirmala UI"/>
        </w:rPr>
        <w:t>ആരംഭിച്ച</w:t>
      </w:r>
      <w:r>
        <w:rPr>
          <w:rFonts w:ascii="Times New Roman" w:hAnsi="Times New Roman" w:eastAsia="Times New Roman" w:cs="Times New Roman"/>
        </w:rPr>
        <w:t xml:space="preserve"> “</w:t>
      </w:r>
      <w:r>
        <w:rPr>
          <w:rFonts w:ascii="Nirmala UI" w:hAnsi="Nirmala UI" w:eastAsia="Nirmala UI" w:cs="Nirmala UI"/>
        </w:rPr>
        <w:t>വിവാദം</w:t>
      </w:r>
      <w:r>
        <w:rPr>
          <w:rFonts w:ascii="Times New Roman" w:hAnsi="Times New Roman" w:eastAsia="Times New Roman" w:cs="Times New Roman"/>
        </w:rPr>
        <w:t xml:space="preserve">” </w:t>
      </w:r>
      <w:r>
        <w:rPr>
          <w:rFonts w:ascii="Nirmala UI" w:hAnsi="Nirmala UI" w:eastAsia="Nirmala UI" w:cs="Nirmala UI"/>
        </w:rPr>
        <w:t>ആകുന്നു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വിവാദം</w:t>
      </w:r>
      <w:r>
        <w:rPr>
          <w:rFonts w:ascii="Times New Roman" w:hAnsi="Times New Roman" w:eastAsia="Times New Roman" w:cs="Times New Roman"/>
        </w:rPr>
        <w:t xml:space="preserve"> </w:t>
      </w:r>
      <w:r>
        <w:rPr>
          <w:rFonts w:ascii="Nirmala UI" w:hAnsi="Nirmala UI" w:eastAsia="Nirmala UI" w:cs="Nirmala UI"/>
        </w:rPr>
        <w:t>ശരിയായതോ</w:t>
      </w:r>
      <w:r>
        <w:rPr>
          <w:rFonts w:ascii="Times New Roman" w:hAnsi="Times New Roman" w:eastAsia="Times New Roman" w:cs="Times New Roman"/>
        </w:rPr>
        <w:t xml:space="preserve"> </w:t>
      </w:r>
      <w:r>
        <w:rPr>
          <w:rFonts w:ascii="Nirmala UI" w:hAnsi="Nirmala UI" w:eastAsia="Nirmala UI" w:cs="Nirmala UI"/>
        </w:rPr>
        <w:t>തെറ്റായതോ</w:t>
      </w:r>
      <w:r>
        <w:rPr>
          <w:rFonts w:ascii="Times New Roman" w:hAnsi="Times New Roman" w:eastAsia="Times New Roman" w:cs="Times New Roman"/>
        </w:rPr>
        <w:t xml:space="preserve"> </w:t>
      </w:r>
      <w:r>
        <w:rPr>
          <w:rFonts w:ascii="Nirmala UI" w:hAnsi="Nirmala UI" w:eastAsia="Nirmala UI" w:cs="Nirmala UI"/>
        </w:rPr>
        <w:t>ആയ</w:t>
      </w:r>
      <w:r>
        <w:rPr>
          <w:rFonts w:ascii="Times New Roman" w:hAnsi="Times New Roman" w:eastAsia="Times New Roman" w:cs="Times New Roman"/>
        </w:rPr>
        <w:t xml:space="preserve"> </w:t>
      </w:r>
      <w:r>
        <w:rPr>
          <w:rFonts w:ascii="Nirmala UI" w:hAnsi="Nirmala UI" w:eastAsia="Nirmala UI" w:cs="Nirmala UI"/>
        </w:rPr>
        <w:t>രീതിശാസ്ത്രത്തെക്കുറിച്ചായിരുന്നു</w:t>
      </w:r>
      <w:r>
        <w:rPr>
          <w:rFonts w:ascii="Times New Roman" w:hAnsi="Times New Roman" w:eastAsia="Times New Roman" w:cs="Times New Roman"/>
        </w:rPr>
        <w:t xml:space="preserve">. </w:t>
      </w:r>
      <w:r>
        <w:rPr>
          <w:rFonts w:ascii="Nirmala UI" w:hAnsi="Nirmala UI" w:eastAsia="Nirmala UI" w:cs="Nirmala UI"/>
        </w:rPr>
        <w:t>അഡ്വന്റിസ്റ്റ്</w:t>
      </w:r>
      <w:r>
        <w:rPr>
          <w:rFonts w:ascii="Times New Roman" w:hAnsi="Times New Roman" w:eastAsia="Times New Roman" w:cs="Times New Roman"/>
        </w:rPr>
        <w:t xml:space="preserve"> </w:t>
      </w:r>
      <w:r>
        <w:rPr>
          <w:rFonts w:ascii="Nirmala UI" w:hAnsi="Nirmala UI" w:eastAsia="Nirmala UI" w:cs="Nirmala UI"/>
        </w:rPr>
        <w:t>സഭ</w:t>
      </w:r>
      <w:r>
        <w:rPr>
          <w:rFonts w:ascii="Times New Roman" w:hAnsi="Times New Roman" w:eastAsia="Times New Roman" w:cs="Times New Roman"/>
        </w:rPr>
        <w:t xml:space="preserve"> 1863-</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വില്യം</w:t>
      </w:r>
      <w:r>
        <w:rPr>
          <w:rFonts w:ascii="Times New Roman" w:hAnsi="Times New Roman" w:eastAsia="Times New Roman" w:cs="Times New Roman"/>
        </w:rPr>
        <w:t xml:space="preserve"> </w:t>
      </w:r>
      <w:r>
        <w:rPr>
          <w:rFonts w:ascii="Nirmala UI" w:hAnsi="Nirmala UI" w:eastAsia="Nirmala UI" w:cs="Nirmala UI"/>
        </w:rPr>
        <w:t>മില്ലറിന്റെ</w:t>
      </w:r>
      <w:r>
        <w:rPr>
          <w:rFonts w:ascii="Times New Roman" w:hAnsi="Times New Roman" w:eastAsia="Times New Roman" w:cs="Times New Roman"/>
        </w:rPr>
        <w:t xml:space="preserve"> </w:t>
      </w:r>
      <w:r>
        <w:rPr>
          <w:rFonts w:ascii="Nirmala UI" w:hAnsi="Nirmala UI" w:eastAsia="Nirmala UI" w:cs="Nirmala UI"/>
        </w:rPr>
        <w:t>പ്രവചനവ്യാഖ്യാനത്തിനുള്ള</w:t>
      </w:r>
      <w:r>
        <w:rPr>
          <w:rFonts w:ascii="Times New Roman" w:hAnsi="Times New Roman" w:eastAsia="Times New Roman" w:cs="Times New Roman"/>
        </w:rPr>
        <w:t xml:space="preserve"> </w:t>
      </w:r>
      <w:r>
        <w:rPr>
          <w:rFonts w:ascii="Nirmala UI" w:hAnsi="Nirmala UI" w:eastAsia="Nirmala UI" w:cs="Nirmala UI"/>
        </w:rPr>
        <w:t>പതിനാലു</w:t>
      </w:r>
      <w:r>
        <w:rPr>
          <w:rFonts w:ascii="Times New Roman" w:hAnsi="Times New Roman" w:eastAsia="Times New Roman" w:cs="Times New Roman"/>
        </w:rPr>
        <w:t xml:space="preserve"> </w:t>
      </w:r>
      <w:r>
        <w:rPr>
          <w:rFonts w:ascii="Nirmala UI" w:hAnsi="Nirmala UI" w:eastAsia="Nirmala UI" w:cs="Nirmala UI"/>
        </w:rPr>
        <w:t>നിയമങ്ങളെ</w:t>
      </w:r>
      <w:r>
        <w:rPr>
          <w:rFonts w:ascii="Times New Roman" w:hAnsi="Times New Roman" w:eastAsia="Times New Roman" w:cs="Times New Roman"/>
        </w:rPr>
        <w:t xml:space="preserve"> </w:t>
      </w:r>
      <w:r>
        <w:rPr>
          <w:rFonts w:ascii="Nirmala UI" w:hAnsi="Nirmala UI" w:eastAsia="Nirmala UI" w:cs="Nirmala UI"/>
        </w:rPr>
        <w:t>തള്ളിക്കളയാൻ</w:t>
      </w:r>
      <w:r>
        <w:rPr>
          <w:rFonts w:ascii="Times New Roman" w:hAnsi="Times New Roman" w:eastAsia="Times New Roman" w:cs="Times New Roman"/>
        </w:rPr>
        <w:t xml:space="preserve"> </w:t>
      </w:r>
      <w:r>
        <w:rPr>
          <w:rFonts w:ascii="Nirmala UI" w:hAnsi="Nirmala UI" w:eastAsia="Nirmala UI" w:cs="Nirmala UI"/>
        </w:rPr>
        <w:t>തുടങ്ങി</w:t>
      </w:r>
      <w:r>
        <w:rPr>
          <w:rFonts w:ascii="Times New Roman" w:hAnsi="Times New Roman" w:eastAsia="Times New Roman" w:cs="Times New Roman"/>
        </w:rPr>
        <w:t xml:space="preserve">; </w:t>
      </w:r>
      <w:r>
        <w:rPr>
          <w:rFonts w:ascii="Nirmala UI" w:hAnsi="Nirmala UI" w:eastAsia="Nirmala UI" w:cs="Nirmala UI"/>
        </w:rPr>
        <w:t>ഇപ്പോൾ</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എത്തിയിരിക്കുന്ന</w:t>
      </w:r>
      <w:r>
        <w:rPr>
          <w:rFonts w:ascii="Times New Roman" w:hAnsi="Times New Roman" w:eastAsia="Times New Roman" w:cs="Times New Roman"/>
        </w:rPr>
        <w:t xml:space="preserve"> </w:t>
      </w:r>
      <w:r>
        <w:rPr>
          <w:rFonts w:ascii="Nirmala UI" w:hAnsi="Nirmala UI" w:eastAsia="Nirmala UI" w:cs="Nirmala UI"/>
        </w:rPr>
        <w:t>നിലയെന്നാൽ</w:t>
      </w:r>
      <w:r>
        <w:rPr>
          <w:rFonts w:ascii="Times New Roman" w:hAnsi="Times New Roman" w:eastAsia="Times New Roman" w:cs="Times New Roman"/>
        </w:rPr>
        <w:t xml:space="preserve">, </w:t>
      </w:r>
      <w:r>
        <w:rPr>
          <w:rFonts w:ascii="Nirmala UI" w:hAnsi="Nirmala UI" w:eastAsia="Nirmala UI" w:cs="Nirmala UI"/>
        </w:rPr>
        <w:t>മതഭ്രഷ്ട</w:t>
      </w:r>
      <w:r>
        <w:rPr>
          <w:rFonts w:ascii="Times New Roman" w:hAnsi="Times New Roman" w:eastAsia="Times New Roman" w:cs="Times New Roman"/>
        </w:rPr>
        <w:t xml:space="preserve"> </w:t>
      </w:r>
      <w:r>
        <w:rPr>
          <w:rFonts w:ascii="Nirmala UI" w:hAnsi="Nirmala UI" w:eastAsia="Nirmala UI" w:cs="Nirmala UI"/>
        </w:rPr>
        <w:t>പ്രൊട്ടസ്റ്റന്റിസത്തിന്റെയും</w:t>
      </w:r>
      <w:r>
        <w:rPr>
          <w:rFonts w:ascii="Times New Roman" w:hAnsi="Times New Roman" w:eastAsia="Times New Roman" w:cs="Times New Roman"/>
        </w:rPr>
        <w:t xml:space="preserve"> </w:t>
      </w:r>
      <w:r>
        <w:rPr>
          <w:rFonts w:ascii="Nirmala UI" w:hAnsi="Nirmala UI" w:eastAsia="Nirmala UI" w:cs="Nirmala UI"/>
        </w:rPr>
        <w:t>റോമൻ</w:t>
      </w:r>
      <w:r>
        <w:rPr>
          <w:rFonts w:ascii="Times New Roman" w:hAnsi="Times New Roman" w:eastAsia="Times New Roman" w:cs="Times New Roman"/>
        </w:rPr>
        <w:t xml:space="preserve"> </w:t>
      </w:r>
      <w:r>
        <w:rPr>
          <w:rFonts w:ascii="Nirmala UI" w:hAnsi="Nirmala UI" w:eastAsia="Nirmala UI" w:cs="Nirmala UI"/>
        </w:rPr>
        <w:t>കത്തോലിക്കത്വത്തിന്റെയും</w:t>
      </w:r>
      <w:r>
        <w:rPr>
          <w:rFonts w:ascii="Times New Roman" w:hAnsi="Times New Roman" w:eastAsia="Times New Roman" w:cs="Times New Roman"/>
        </w:rPr>
        <w:t xml:space="preserve"> </w:t>
      </w:r>
      <w:r>
        <w:rPr>
          <w:rFonts w:ascii="Nirmala UI" w:hAnsi="Nirmala UI" w:eastAsia="Nirmala UI" w:cs="Nirmala UI"/>
        </w:rPr>
        <w:t>ദൈവശാസ്ത്രജ്ഞന്മാർ</w:t>
      </w:r>
      <w:r>
        <w:rPr>
          <w:rFonts w:ascii="Times New Roman" w:hAnsi="Times New Roman" w:eastAsia="Times New Roman" w:cs="Times New Roman"/>
        </w:rPr>
        <w:t xml:space="preserve"> </w:t>
      </w:r>
      <w:r>
        <w:rPr>
          <w:rFonts w:ascii="Nirmala UI" w:hAnsi="Nirmala UI" w:eastAsia="Nirmala UI" w:cs="Nirmala UI"/>
        </w:rPr>
        <w:t>ആവർത്തിച്ച്</w:t>
      </w:r>
      <w:r>
        <w:rPr>
          <w:rFonts w:ascii="Times New Roman" w:hAnsi="Times New Roman" w:eastAsia="Times New Roman" w:cs="Times New Roman"/>
        </w:rPr>
        <w:t xml:space="preserve"> </w:t>
      </w:r>
      <w:r>
        <w:rPr>
          <w:rFonts w:ascii="Nirmala UI" w:hAnsi="Nirmala UI" w:eastAsia="Nirmala UI" w:cs="Nirmala UI"/>
        </w:rPr>
        <w:t>പിന്തുണച്ചിട്ടില്ലാത്ത</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ബൈബിൾ</w:t>
      </w:r>
      <w:r>
        <w:rPr>
          <w:rFonts w:ascii="Times New Roman" w:hAnsi="Times New Roman" w:eastAsia="Times New Roman" w:cs="Times New Roman"/>
        </w:rPr>
        <w:t xml:space="preserve"> </w:t>
      </w:r>
      <w:r>
        <w:rPr>
          <w:rFonts w:ascii="Nirmala UI" w:hAnsi="Nirmala UI" w:eastAsia="Nirmala UI" w:cs="Nirmala UI"/>
        </w:rPr>
        <w:t>പഠനഗ്രന്ഥവും</w:t>
      </w:r>
      <w:r>
        <w:rPr>
          <w:rFonts w:ascii="Times New Roman" w:hAnsi="Times New Roman" w:eastAsia="Times New Roman" w:cs="Times New Roman"/>
        </w:rPr>
        <w:t xml:space="preserve"> </w:t>
      </w:r>
      <w:r>
        <w:rPr>
          <w:rFonts w:ascii="Nirmala UI" w:hAnsi="Nirmala UI" w:eastAsia="Nirmala UI" w:cs="Nirmala UI"/>
        </w:rPr>
        <w:t>അഡ്വന്റിസ്റ്റ്</w:t>
      </w:r>
      <w:r>
        <w:rPr>
          <w:rFonts w:ascii="Times New Roman" w:hAnsi="Times New Roman" w:eastAsia="Times New Roman" w:cs="Times New Roman"/>
        </w:rPr>
        <w:t xml:space="preserve"> </w:t>
      </w:r>
      <w:r>
        <w:rPr>
          <w:rFonts w:ascii="Nirmala UI" w:hAnsi="Nirmala UI" w:eastAsia="Nirmala UI" w:cs="Nirmala UI"/>
        </w:rPr>
        <w:t>ദൈവശാസ്ത്രജ്ഞർ</w:t>
      </w:r>
      <w:r>
        <w:rPr>
          <w:rFonts w:ascii="Times New Roman" w:hAnsi="Times New Roman" w:eastAsia="Times New Roman" w:cs="Times New Roman"/>
        </w:rPr>
        <w:t xml:space="preserve"> </w:t>
      </w:r>
      <w:r>
        <w:rPr>
          <w:rFonts w:ascii="Nirmala UI" w:hAnsi="Nirmala UI" w:eastAsia="Nirmala UI" w:cs="Nirmala UI"/>
        </w:rPr>
        <w:t>എഴുതിയതിൽ</w:t>
      </w:r>
      <w:r>
        <w:rPr>
          <w:rFonts w:ascii="Times New Roman" w:hAnsi="Times New Roman" w:eastAsia="Times New Roman" w:cs="Times New Roman"/>
        </w:rPr>
        <w:t xml:space="preserve"> </w:t>
      </w:r>
      <w:r>
        <w:rPr>
          <w:rFonts w:ascii="Nirmala UI" w:hAnsi="Nirmala UI" w:eastAsia="Nirmala UI" w:cs="Nirmala UI"/>
        </w:rPr>
        <w:t>നിങ്ങൾക്ക്</w:t>
      </w:r>
      <w:r>
        <w:rPr>
          <w:rFonts w:ascii="Times New Roman" w:hAnsi="Times New Roman" w:eastAsia="Times New Roman" w:cs="Times New Roman"/>
        </w:rPr>
        <w:t xml:space="preserve"> </w:t>
      </w:r>
      <w:r>
        <w:rPr>
          <w:rFonts w:ascii="Nirmala UI" w:hAnsi="Nirmala UI" w:eastAsia="Nirmala UI" w:cs="Nirmala UI"/>
        </w:rPr>
        <w:t>വാങ്ങാൻ</w:t>
      </w:r>
      <w:r>
        <w:rPr>
          <w:rFonts w:ascii="Times New Roman" w:hAnsi="Times New Roman" w:eastAsia="Times New Roman" w:cs="Times New Roman"/>
        </w:rPr>
        <w:t xml:space="preserve"> </w:t>
      </w:r>
      <w:r>
        <w:rPr>
          <w:rFonts w:ascii="Nirmala UI" w:hAnsi="Nirmala UI" w:eastAsia="Nirmala UI" w:cs="Nirmala UI"/>
        </w:rPr>
        <w:t>കഴിയാത്തവിധമായി</w:t>
      </w:r>
      <w:r>
        <w:rPr>
          <w:rFonts w:ascii="Times New Roman" w:hAnsi="Times New Roman" w:eastAsia="Times New Roman" w:cs="Times New Roman"/>
        </w:rPr>
        <w:t xml:space="preserve">. 1863 </w:t>
      </w:r>
      <w:r>
        <w:rPr>
          <w:rFonts w:ascii="Nirmala UI" w:hAnsi="Nirmala UI" w:eastAsia="Nirmala UI" w:cs="Nirmala UI"/>
        </w:rPr>
        <w:t>മുതൽ</w:t>
      </w:r>
      <w:r>
        <w:rPr>
          <w:rFonts w:ascii="Times New Roman" w:hAnsi="Times New Roman" w:eastAsia="Times New Roman" w:cs="Times New Roman"/>
        </w:rPr>
        <w:t xml:space="preserve"> 2001 </w:t>
      </w:r>
      <w:r>
        <w:rPr>
          <w:rFonts w:ascii="Nirmala UI" w:hAnsi="Nirmala UI" w:eastAsia="Nirmala UI" w:cs="Nirmala UI"/>
        </w:rPr>
        <w:t>വരെ</w:t>
      </w:r>
      <w:r>
        <w:rPr>
          <w:rFonts w:ascii="Times New Roman" w:hAnsi="Times New Roman" w:eastAsia="Times New Roman" w:cs="Times New Roman"/>
        </w:rPr>
        <w:t xml:space="preserve">, </w:t>
      </w:r>
      <w:r>
        <w:rPr>
          <w:rFonts w:ascii="Nirmala UI" w:hAnsi="Nirmala UI" w:eastAsia="Nirmala UI" w:cs="Nirmala UI"/>
        </w:rPr>
        <w:t>ഇന്നും</w:t>
      </w:r>
      <w:r>
        <w:rPr>
          <w:rFonts w:ascii="Times New Roman" w:hAnsi="Times New Roman" w:eastAsia="Times New Roman" w:cs="Times New Roman"/>
        </w:rPr>
        <w:t xml:space="preserve"> </w:t>
      </w:r>
      <w:r>
        <w:rPr>
          <w:rFonts w:ascii="Nirmala UI" w:hAnsi="Nirmala UI" w:eastAsia="Nirmala UI" w:cs="Nirmala UI"/>
        </w:rPr>
        <w:t>അതുപോലെ</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വില്യം</w:t>
      </w:r>
      <w:r>
        <w:rPr>
          <w:rFonts w:ascii="Times New Roman" w:hAnsi="Times New Roman" w:eastAsia="Times New Roman" w:cs="Times New Roman"/>
        </w:rPr>
        <w:t xml:space="preserve"> </w:t>
      </w:r>
      <w:r>
        <w:rPr>
          <w:rFonts w:ascii="Nirmala UI" w:hAnsi="Nirmala UI" w:eastAsia="Nirmala UI" w:cs="Nirmala UI"/>
        </w:rPr>
        <w:t>മില്ലറിന്റെ</w:t>
      </w:r>
      <w:r>
        <w:rPr>
          <w:rFonts w:ascii="Times New Roman" w:hAnsi="Times New Roman" w:eastAsia="Times New Roman" w:cs="Times New Roman"/>
        </w:rPr>
        <w:t xml:space="preserve"> </w:t>
      </w:r>
      <w:r>
        <w:rPr>
          <w:rFonts w:ascii="Nirmala UI" w:hAnsi="Nirmala UI" w:eastAsia="Nirmala UI" w:cs="Nirmala UI"/>
        </w:rPr>
        <w:t>പ്രവചനവ്യാഖ്യാനനിയമങ്ങൾ</w:t>
      </w:r>
      <w:r>
        <w:rPr>
          <w:rFonts w:ascii="Times New Roman" w:hAnsi="Times New Roman" w:eastAsia="Times New Roman" w:cs="Times New Roman"/>
        </w:rPr>
        <w:t xml:space="preserve"> </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പ്രതിനിധീകരിച്ചിരുന്ന</w:t>
      </w:r>
      <w:r>
        <w:rPr>
          <w:rFonts w:ascii="Times New Roman" w:hAnsi="Times New Roman" w:eastAsia="Times New Roman" w:cs="Times New Roman"/>
        </w:rPr>
        <w:t xml:space="preserve"> </w:t>
      </w:r>
      <w:r>
        <w:rPr>
          <w:rFonts w:ascii="Nirmala UI" w:hAnsi="Nirmala UI" w:eastAsia="Nirmala UI" w:cs="Nirmala UI"/>
        </w:rPr>
        <w:t>രീതിശാസ്ത്രം</w:t>
      </w:r>
      <w:r>
        <w:rPr>
          <w:rFonts w:ascii="Times New Roman" w:hAnsi="Times New Roman" w:eastAsia="Times New Roman" w:cs="Times New Roman"/>
        </w:rPr>
        <w:t xml:space="preserve"> </w:t>
      </w:r>
      <w:r>
        <w:rPr>
          <w:rFonts w:ascii="Nirmala UI" w:hAnsi="Nirmala UI" w:eastAsia="Nirmala UI" w:cs="Nirmala UI"/>
        </w:rPr>
        <w:t>റോമൻ</w:t>
      </w:r>
      <w:r>
        <w:rPr>
          <w:rFonts w:ascii="Times New Roman" w:hAnsi="Times New Roman" w:eastAsia="Times New Roman" w:cs="Times New Roman"/>
        </w:rPr>
        <w:t xml:space="preserve"> </w:t>
      </w:r>
      <w:r>
        <w:rPr>
          <w:rFonts w:ascii="Nirmala UI" w:hAnsi="Nirmala UI" w:eastAsia="Nirmala UI" w:cs="Nirmala UI"/>
        </w:rPr>
        <w:t>കത്തോലിക്കത്വത്തിന്റെയും</w:t>
      </w:r>
      <w:r>
        <w:rPr>
          <w:rFonts w:ascii="Times New Roman" w:hAnsi="Times New Roman" w:eastAsia="Times New Roman" w:cs="Times New Roman"/>
        </w:rPr>
        <w:t xml:space="preserve"> </w:t>
      </w:r>
      <w:r>
        <w:rPr>
          <w:rFonts w:ascii="Nirmala UI" w:hAnsi="Nirmala UI" w:eastAsia="Nirmala UI" w:cs="Nirmala UI"/>
        </w:rPr>
        <w:t>മതഭ്രഷ്ട</w:t>
      </w:r>
      <w:r>
        <w:rPr>
          <w:rFonts w:ascii="Times New Roman" w:hAnsi="Times New Roman" w:eastAsia="Times New Roman" w:cs="Times New Roman"/>
        </w:rPr>
        <w:t xml:space="preserve"> </w:t>
      </w:r>
      <w:r>
        <w:rPr>
          <w:rFonts w:ascii="Nirmala UI" w:hAnsi="Nirmala UI" w:eastAsia="Nirmala UI" w:cs="Nirmala UI"/>
        </w:rPr>
        <w:t>പ്രൊട്ടസ്റ്റന്റിസത്തിന്റെയും</w:t>
      </w:r>
      <w:r>
        <w:rPr>
          <w:rFonts w:ascii="Times New Roman" w:hAnsi="Times New Roman" w:eastAsia="Times New Roman" w:cs="Times New Roman"/>
        </w:rPr>
        <w:t xml:space="preserve"> </w:t>
      </w:r>
      <w:r>
        <w:rPr>
          <w:rFonts w:ascii="Nirmala UI" w:hAnsi="Nirmala UI" w:eastAsia="Nirmala UI" w:cs="Nirmala UI"/>
        </w:rPr>
        <w:t>രീതിശാസ്ത്രത്തിനുവേണ്ടി</w:t>
      </w:r>
      <w:r>
        <w:rPr>
          <w:rFonts w:ascii="Times New Roman" w:hAnsi="Times New Roman" w:eastAsia="Times New Roman" w:cs="Times New Roman"/>
        </w:rPr>
        <w:t xml:space="preserve"> </w:t>
      </w:r>
      <w:r>
        <w:rPr>
          <w:rFonts w:ascii="Nirmala UI" w:hAnsi="Nirmala UI" w:eastAsia="Nirmala UI" w:cs="Nirmala UI"/>
        </w:rPr>
        <w:t>മാറ്റിവെക്കപ്പെട്ടു</w:t>
      </w:r>
      <w:r>
        <w:rPr>
          <w:rFonts w:ascii="Times New Roman" w:hAnsi="Times New Roman" w:eastAsia="Times New Roman" w:cs="Times New Roman"/>
        </w:rPr>
        <w:t xml:space="preserve">. </w:t>
      </w:r>
      <w:r>
        <w:rPr>
          <w:rFonts w:ascii="Nirmala UI" w:hAnsi="Nirmala UI" w:eastAsia="Nirmala UI" w:cs="Nirmala UI"/>
        </w:rPr>
        <w:t>വെളിപ്പാട്</w:t>
      </w:r>
      <w:r>
        <w:rPr>
          <w:rFonts w:ascii="Times New Roman" w:hAnsi="Times New Roman" w:eastAsia="Times New Roman" w:cs="Times New Roman"/>
        </w:rPr>
        <w:t xml:space="preserve"> </w:t>
      </w:r>
      <w:r>
        <w:rPr>
          <w:rFonts w:ascii="Nirmala UI" w:hAnsi="Nirmala UI" w:eastAsia="Nirmala UI" w:cs="Nirmala UI"/>
        </w:rPr>
        <w:t>പതിനെട്ടാം</w:t>
      </w:r>
      <w:r>
        <w:rPr>
          <w:rFonts w:ascii="Times New Roman" w:hAnsi="Times New Roman" w:eastAsia="Times New Roman" w:cs="Times New Roman"/>
        </w:rPr>
        <w:t xml:space="preserve"> </w:t>
      </w:r>
      <w:r>
        <w:rPr>
          <w:rFonts w:ascii="Nirmala UI" w:hAnsi="Nirmala UI" w:eastAsia="Nirmala UI" w:cs="Nirmala UI"/>
        </w:rPr>
        <w:t>അധ്യായം</w:t>
      </w:r>
      <w:r>
        <w:rPr>
          <w:rFonts w:ascii="Times New Roman" w:hAnsi="Times New Roman" w:eastAsia="Times New Roman" w:cs="Times New Roman"/>
        </w:rPr>
        <w:t xml:space="preserve">, </w:t>
      </w:r>
      <w:r>
        <w:rPr>
          <w:rFonts w:ascii="Nirmala UI" w:hAnsi="Nirmala UI" w:eastAsia="Nirmala UI" w:cs="Nirmala UI"/>
        </w:rPr>
        <w:t>ഒന്നു</w:t>
      </w:r>
      <w:r>
        <w:rPr>
          <w:rFonts w:ascii="Times New Roman" w:hAnsi="Times New Roman" w:eastAsia="Times New Roman" w:cs="Times New Roman"/>
        </w:rPr>
        <w:t xml:space="preserve"> </w:t>
      </w:r>
      <w:r>
        <w:rPr>
          <w:rFonts w:ascii="Nirmala UI" w:hAnsi="Nirmala UI" w:eastAsia="Nirmala UI" w:cs="Nirmala UI"/>
        </w:rPr>
        <w:t>മുതൽ</w:t>
      </w:r>
      <w:r>
        <w:rPr>
          <w:rFonts w:ascii="Times New Roman" w:hAnsi="Times New Roman" w:eastAsia="Times New Roman" w:cs="Times New Roman"/>
        </w:rPr>
        <w:t xml:space="preserve"> </w:t>
      </w:r>
      <w:r>
        <w:rPr>
          <w:rFonts w:ascii="Nirmala UI" w:hAnsi="Nirmala UI" w:eastAsia="Nirmala UI" w:cs="Nirmala UI"/>
        </w:rPr>
        <w:t>മൂന്നുവരെ</w:t>
      </w:r>
      <w:r>
        <w:rPr>
          <w:rFonts w:ascii="Times New Roman" w:hAnsi="Times New Roman" w:eastAsia="Times New Roman" w:cs="Times New Roman"/>
        </w:rPr>
        <w:t xml:space="preserve"> </w:t>
      </w:r>
      <w:r>
        <w:rPr>
          <w:rFonts w:ascii="Nirmala UI" w:hAnsi="Nirmala UI" w:eastAsia="Nirmala UI" w:cs="Nirmala UI"/>
        </w:rPr>
        <w:t>ഉള്ള</w:t>
      </w:r>
      <w:r>
        <w:rPr>
          <w:rFonts w:ascii="Times New Roman" w:hAnsi="Times New Roman" w:eastAsia="Times New Roman" w:cs="Times New Roman"/>
        </w:rPr>
        <w:t xml:space="preserve"> </w:t>
      </w:r>
      <w:r>
        <w:rPr>
          <w:rFonts w:ascii="Nirmala UI" w:hAnsi="Nirmala UI" w:eastAsia="Nirmala UI" w:cs="Nirmala UI"/>
        </w:rPr>
        <w:t>വാക്യങ്ങൾ</w:t>
      </w:r>
      <w:r>
        <w:rPr>
          <w:rFonts w:ascii="Times New Roman" w:hAnsi="Times New Roman" w:eastAsia="Times New Roman" w:cs="Times New Roman"/>
        </w:rPr>
        <w:t xml:space="preserve"> </w:t>
      </w:r>
      <w:r>
        <w:rPr>
          <w:rFonts w:ascii="Nirmala UI" w:hAnsi="Nirmala UI" w:eastAsia="Nirmala UI" w:cs="Nirmala UI"/>
        </w:rPr>
        <w:t>നിറവേറ്റപ്പെട്ടപ്പോൾ</w:t>
      </w:r>
      <w:r>
        <w:rPr>
          <w:rFonts w:ascii="Times New Roman" w:hAnsi="Times New Roman" w:eastAsia="Times New Roman" w:cs="Times New Roman"/>
        </w:rPr>
        <w:t xml:space="preserve"> </w:t>
      </w:r>
      <w:r>
        <w:rPr>
          <w:rFonts w:ascii="Nirmala UI" w:hAnsi="Nirmala UI" w:eastAsia="Nirmala UI" w:cs="Nirmala UI"/>
        </w:rPr>
        <w:t>ആരംഭിച്ച</w:t>
      </w:r>
      <w:r>
        <w:rPr>
          <w:rFonts w:ascii="Times New Roman" w:hAnsi="Times New Roman" w:eastAsia="Times New Roman" w:cs="Times New Roman"/>
        </w:rPr>
        <w:t xml:space="preserve"> </w:t>
      </w:r>
      <w:r>
        <w:rPr>
          <w:rFonts w:ascii="Nirmala UI" w:hAnsi="Nirmala UI" w:eastAsia="Nirmala UI" w:cs="Nirmala UI"/>
        </w:rPr>
        <w:t>പ്രവചനാത്മകമായ</w:t>
      </w:r>
      <w:r>
        <w:rPr>
          <w:rFonts w:ascii="Times New Roman" w:hAnsi="Times New Roman" w:eastAsia="Times New Roman" w:cs="Times New Roman"/>
        </w:rPr>
        <w:t xml:space="preserve"> “</w:t>
      </w:r>
      <w:r>
        <w:rPr>
          <w:rFonts w:ascii="Nirmala UI" w:hAnsi="Nirmala UI" w:eastAsia="Nirmala UI" w:cs="Nirmala UI"/>
        </w:rPr>
        <w:t>വിവാദം</w:t>
      </w:r>
      <w:r>
        <w:rPr>
          <w:rFonts w:ascii="Times New Roman" w:hAnsi="Times New Roman" w:eastAsia="Times New Roman" w:cs="Times New Roman"/>
        </w:rPr>
        <w:t xml:space="preserve">” </w:t>
      </w:r>
      <w:r>
        <w:rPr>
          <w:rFonts w:ascii="Nirmala UI" w:hAnsi="Nirmala UI" w:eastAsia="Nirmala UI" w:cs="Nirmala UI"/>
        </w:rPr>
        <w:t>സത്യമായോ</w:t>
      </w:r>
      <w:r>
        <w:rPr>
          <w:rFonts w:ascii="Times New Roman" w:hAnsi="Times New Roman" w:eastAsia="Times New Roman" w:cs="Times New Roman"/>
        </w:rPr>
        <w:t xml:space="preserve"> </w:t>
      </w:r>
      <w:r>
        <w:rPr>
          <w:rFonts w:ascii="Nirmala UI" w:hAnsi="Nirmala UI" w:eastAsia="Nirmala UI" w:cs="Nirmala UI"/>
        </w:rPr>
        <w:t>വ്യാജമായോ</w:t>
      </w:r>
      <w:r>
        <w:rPr>
          <w:rFonts w:ascii="Times New Roman" w:hAnsi="Times New Roman" w:eastAsia="Times New Roman" w:cs="Times New Roman"/>
        </w:rPr>
        <w:t xml:space="preserve"> </w:t>
      </w:r>
      <w:r>
        <w:rPr>
          <w:rFonts w:ascii="Nirmala UI" w:hAnsi="Nirmala UI" w:eastAsia="Nirmala UI" w:cs="Nirmala UI"/>
        </w:rPr>
        <w:t>ഉള്ള</w:t>
      </w:r>
      <w:r>
        <w:rPr>
          <w:rFonts w:ascii="Times New Roman" w:hAnsi="Times New Roman" w:eastAsia="Times New Roman" w:cs="Times New Roman"/>
        </w:rPr>
        <w:t xml:space="preserve"> </w:t>
      </w:r>
      <w:r>
        <w:rPr>
          <w:rFonts w:ascii="Nirmala UI" w:hAnsi="Nirmala UI" w:eastAsia="Nirmala UI" w:cs="Nirmala UI"/>
        </w:rPr>
        <w:t>രീതിശാസ്ത്രത്തെക്കുറിച്ചായിരുന്നു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Vom continua analiza „dezbaterii” din capitolul douăzeci și șapte al lui Isaia în articolul următor.</w:t>
      </w:r>
    </w:p>
    <w:p>
      <w:pPr>
        <w:pStyle w:val="ArticleScripture"/>
        <w:jc w:val="left"/>
      </w:pPr>
      <w:r>
        <w:rPr>
          <w:rFonts w:ascii="Times New Roman" w:hAnsi="Times New Roman" w:eastAsia="Times New Roman" w:cs="Times New Roman"/>
        </w:rPr>
        <w:t>„Ar trebui să știm noi înșine în ce constă creștinismul, ce este adevărul, care este credința pe care am primit-o, care sunt regulile Bibliei — regulile care ne-au fost date de cea mai înaltă autoritate.”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unu</dc:title>
  <dc:subject>Cu măsură</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