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Nouăzeci și cinci</w:t>
      </w:r>
    </w:p>
    <w:p>
      <w:pPr>
        <w:pStyle w:val="ArticleSubtitle"/>
        <w:jc w:val="left"/>
      </w:pPr>
      <w:r>
        <w:rPr>
          <w:rFonts w:ascii="Arial" w:hAnsi="Arial" w:eastAsia="Arial" w:cs="Arial"/>
        </w:rPr>
        <w:t>Dezvăluirea semnificației profetice a soliei celui de-al doilea înger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În istoria mișcării atât a primului, cât și a celui de-al treilea înger, mesajul poate fi rezumat prin mesajul celui de-al doilea înger.</w:t>
      </w:r>
    </w:p>
    <w:p>
      <w:pPr>
        <w:pStyle w:val="ArticleScripture"/>
        <w:jc w:val="left"/>
      </w:pPr>
      <w:r>
        <w:rPr>
          <w:rFonts w:ascii="Times New Roman" w:hAnsi="Times New Roman" w:eastAsia="Times New Roman" w:cs="Times New Roman"/>
        </w:rPr>
        <w:t>Și a urmat un alt înger, zicând: A căzut, a căzut Babilonul, cetatea cea mare, pentru că a adăpat toate neamurile din vinul mâniei curviei ei. Apocalipsa 14:8.</w:t>
      </w:r>
    </w:p>
    <w:p>
      <w:pPr>
        <w:pStyle w:val="ArticleBody"/>
        <w:jc w:val="left"/>
      </w:pPr>
      <w:r>
        <w:rPr>
          <w:rFonts w:ascii="Times New Roman" w:hAnsi="Times New Roman" w:eastAsia="Times New Roman" w:cs="Times New Roman"/>
        </w:rPr>
        <w:t>Îngerul al doilea identifică întreita aplicare a profeției, pentru cei care voiesc să vadă. Îngerul al doilea prezintă un mesaj profetic, iar mesajul este că Babilonul a căzut de două ori. El identifică Babilonul ca fiind acea „cetate mare”, care este identificată în capitolele șaptesprezece și optsprezece ca Babilonul modern. Babilonul modern a căzut de două ori, iar căderea ei s-a produs pentru că a făcut ca toate neamurile să „bea din mânia curviei ei”. Curvia ei a fost săvârșită cu împărații pământului. Acea relație i-a îngăduit să folosească puterea împăraților cu care a săvârșit curvie pentru a-și exercita „mânia”, care este persecuția pe care o aduce asupra poporului credincios al lui Dumnezeu.</w:t>
      </w:r>
    </w:p>
    <w:p>
      <w:pPr>
        <w:pStyle w:val="ArticleBody"/>
        <w:jc w:val="left"/>
      </w:pPr>
      <w:r>
        <w:rPr>
          <w:rFonts w:ascii="Times New Roman" w:hAnsi="Times New Roman" w:eastAsia="Times New Roman" w:cs="Times New Roman"/>
        </w:rPr>
        <w:t>Wain ni fundisho, na fundisho analowaongoza mataifa yote kulinywa ni fundisho la uongo linalodai kwamba kuabudu jua kutazalisha amani. Mataifa yote huipokea “alama” ya mamlaka yake, nayo ni ibada ya jua, kama inavyowakilishwa na ibada ya Jumapili. Kupokewa kwa “alama” hiyo na mataifa yote kunaletwa kwa njia ya nguvu ya Marekani, lakini hufanyika katika wakati wa vita vinavyozidi kuongezeka vinavyoletwa juu ya sayari ya dunia na Ole ya tatu ya Uislamu. Mataifa huyapokea “mvinyo” ya ghadhabu yake kwa msingi wa ahadi ya “amani na usalama.”</w:t>
      </w:r>
    </w:p>
    <w:p>
      <w:pPr>
        <w:pStyle w:val="ArticleScripture"/>
        <w:jc w:val="left"/>
      </w:pPr>
      <w:r>
        <w:rPr>
          <w:rFonts w:ascii="Times New Roman" w:hAnsi="Times New Roman" w:eastAsia="Times New Roman" w:cs="Times New Roman"/>
        </w:rPr>
        <w:t>„Acum se răspândește cuvântul că aș fi declarat că New Yorkul urmează să fie măturat de un val uriaș? Aceasta nu am spus-o niciodată. Am spus, pe când priveam marile clădiri care se înălțau acolo, etaj după etaj: «Ce scene îngrozitoare vor avea loc când Domnul Se va ridica să zguduie cumplit pământul! Atunci se vor împlini cuvintele din Apocalipsa 18:1–3.» Întregul capitol al optsprezecelea din Apocalipsa este o avertizare cu privire la ceea ce vine asupra pământului. Dar nu am primit lumină deosebită cu privire la ceea ce va veni asupra New Yorkului, decât că știu că într-o zi marile clădiri de acolo vor fi doborâte prin întoarcerea și răsturnarea puterii lui Dumnezeu. Din lumina care mi-a fost dată, știu că nimicirea este în lume. Un singur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Al doilea mesaj îngeresc a fost repetat la 11 septembrie 2001, când marile clădiri ale orașului New York au fost dărâmate printr-o atingere a mâinii lui Dumnezeu.</w:t>
      </w:r>
    </w:p>
    <w:p>
      <w:pPr>
        <w:pStyle w:val="ArticleScripture"/>
        <w:jc w:val="left"/>
      </w:pPr>
      <w:r>
        <w:rPr>
          <w:rFonts w:ascii="Times New Roman" w:hAnsi="Times New Roman" w:eastAsia="Times New Roman" w:cs="Times New Roman"/>
        </w:rPr>
        <w:t>„Profetul spune: «Am văzut un alt înger coborându-se din cer, având mare putere; și pământul s-a luminat de slava lui. Și a strigat cu glas puternic, zicând: A căzut, a căzut Babilonul cel mare și a ajuns locaș al demonilor» (Apocalipsa 18:1, 2). Aceasta este aceeași solie care a fost dată de al doilea înger. Babilonul a căzut, «pentru că a adăpat toate neamurile din vinul mâniei curviei ei» (Apocalipsa 14:8). Ce este acel vin? — Doctrinele ei false. Ea a dat lumii un sabat fals în locul Sabatului poruncii a patra și a repetat minciuna pe care Satana i-a spus-o mai întâi Evei în Eden — nemurirea naturală a sufletului. Multe erori înrudite le-a răspândit pretutindeni, «dând ca învățături niște porunci omenești» (Matei 15:9).”</w:t>
      </w:r>
    </w:p>
    <w:p>
      <w:pPr>
        <w:pStyle w:val="ArticleScripture"/>
        <w:jc w:val="left"/>
      </w:pPr>
      <w:r>
        <w:rPr>
          <w:rFonts w:ascii="Times New Roman" w:hAnsi="Times New Roman" w:eastAsia="Times New Roman" w:cs="Times New Roman"/>
        </w:rPr>
        <w:t>“Atunci când Isus Și-a început lucrarea Sa publică, El a curățit Templul de profanarea lui sacrilegă. Printre ultimele acte ale lucrării Sale s-a aflat a doua curățire a Templului. Tot astfel, în ultima lucrare pentru avertizarea lumii, către biserici sunt adresate două chemări distincte. Solia celui de-al doilea înger este: «A căzut, a căzut Babilonul, cetatea cea mare, pentru că a adăpat toate neamurile din vinul mâniei curviei ei» (Apocalipsa 14:8). Iar în marea strigare a soliei celui de-al treilea înger se aude un glas din cer, zicând: «Ieșiți din mijlocul ei, poporul Meu, ca să nu fiți părtași la păcatele ei și să nu primiți din plăgile ei. Pentru că păcatele ei au ajuns până la cer, și Dumnezeu Și-a adus aminte de nelegiuirile ei» (Apocalipsa 18:4, 5).” Selected Messages, book 2, 118.</w:t>
      </w:r>
    </w:p>
    <w:p>
      <w:pPr>
        <w:pStyle w:val="ArticleBody"/>
        <w:jc w:val="left"/>
      </w:pPr>
      <w:r>
        <w:rPr>
          <w:rFonts w:ascii="Times New Roman" w:hAnsi="Times New Roman" w:eastAsia="Times New Roman" w:cs="Times New Roman"/>
        </w:rPr>
        <w:t>Între 11 septembrie 2001 și legea duminicală care va veni curând în Statele Unite, primele trei versete din Apocalipsa 18 se împlinesc, căci la legea duminicală începe chemarea de a ieși din Babilon.</w:t>
      </w:r>
    </w:p>
    <w:p>
      <w:pPr>
        <w:pStyle w:val="ArticleScripture"/>
        <w:jc w:val="left"/>
      </w:pPr>
      <w:r>
        <w:rPr>
          <w:rFonts w:ascii="Times New Roman" w:hAnsi="Times New Roman" w:eastAsia="Times New Roman" w:cs="Times New Roman"/>
        </w:rPr>
        <w:t>„Откровение 18 посочва времето, когато, като резултат от отхвърлянето на тройното предупреждение от Откровение 14:6–12, църквата ще бъде напълно достигнала състоянието, предсказано от втория ангел, и Божият народ, който още е във Вавилон, ще бъде призован да се отдели от нейното общение. Тази вест е последната, която някога ще бъде дадена на света; и тя ще извърши своето дело. Когато онези, които „не приеха истината, а се наслаждаваха в неправдата“ (2 Солунци 2:12), бъдат оставени да приемат силно заблуждение и да повярват на лъжата, тогава светлината на истината ще озари всички, чиито сърца са отворени да я приемат, и всички Господни чада, които остават във Вавилон, ще послушат призива: „Излезте от нея, люде Мои“ (Откровение 18:4).“ Великата борба, 389, 390.</w:t>
      </w:r>
    </w:p>
    <w:p>
      <w:pPr>
        <w:pStyle w:val="ArticleBody"/>
        <w:jc w:val="left"/>
      </w:pPr>
      <w:r>
        <w:rPr>
          <w:rFonts w:ascii="Times New Roman" w:hAnsi="Times New Roman" w:eastAsia="Times New Roman" w:cs="Times New Roman"/>
        </w:rPr>
        <w:t>La legea duminicală care va veni curând, fostul popor al legământului va primi o puternică amăgire. Din 11 septembrie 2001 și până când puternica amăgire va fi revărsată la legea duminicală, solia celui de-al doilea înger este repetată, iar respingerea ei reprezintă respingerea „întreitei avertizări din Apocalipsa paisprezece, versetele șase până la doisprezece”. În acest sens, cei trei îngeri sunt reprezentați prin solia celui de-al doilea înger. Solia celui de-al doilea înger este: „A căzut, a căzut Babilonul”, iar solia celui de-al doilea înger este așezată între prima și a treia solie.</w:t>
      </w:r>
    </w:p>
    <w:p>
      <w:pPr>
        <w:pStyle w:val="ArticleBody"/>
        <w:jc w:val="left"/>
      </w:pPr>
      <w:r>
        <w:rPr>
          <w:rFonts w:ascii="Times New Roman" w:hAnsi="Times New Roman" w:eastAsia="Times New Roman" w:cs="Times New Roman"/>
        </w:rPr>
        <w:t>Proclamația primei voci din capitolul optsprezece al Apocalipsei este o repetare a soliei celui de-al doilea înger, însă ea reprezintă o respingere a tuturor celor trei îngeri din Apocalipsa paisprezece. Solia celui de-al doilea înger reprezintă toate cele trei solii și poartă semnătura lui Alfa și Omega, căci a fost proclamată în istoria mișcării primului înger și apoi va fi din nou în mișcarea celui de-al treilea înger. Solia identifică faptul că Babilonul a căzut de două ori, iar în acest sens profetic ea indică o „întreită aplicare a profeției”.</w:t>
      </w:r>
    </w:p>
    <w:p>
      <w:pPr>
        <w:pStyle w:val="ArticleBody"/>
        <w:jc w:val="left"/>
      </w:pPr>
      <w:r>
        <w:rPr>
          <w:rFonts w:ascii="Times New Roman" w:hAnsi="Times New Roman" w:eastAsia="Times New Roman" w:cs="Times New Roman"/>
        </w:rPr>
        <w:t>Douăle dintâi dăți când Babilonul a căzut, așa cum sunt reprezentate prin Babel și Babilon, prefigurează căderea finală a Babilonului modern. Dubla proclamare a căderii Babilonului este încadrată de primul și ultimul mesaj al celor trei îngeri. Structura celor trei îngeri poartă semnătura Alfa și Omega, căci primul mesaj este identificat drept „evanghelia veșnică”, ceea ce, prin definiție, înseamnă că este Evanghelia eternă, adică același mesaj al Evangheliei pentru toate timpurile. Mesajul îngerului al treilea este mesajul Evangheliei care avertizează împotriva primirii semnului fiarei, astfel încât primul mesaj și al treilea mesaj, care sunt primul și ultimul mesaj, sunt același mesaj, căci amândouă sunt Evanghelia.</w:t>
      </w:r>
    </w:p>
    <w:p>
      <w:pPr>
        <w:pStyle w:val="ArticleBody"/>
        <w:jc w:val="left"/>
      </w:pPr>
      <w:r>
        <w:rPr>
          <w:rFonts w:ascii="Times New Roman" w:hAnsi="Times New Roman" w:eastAsia="Times New Roman" w:cs="Times New Roman"/>
        </w:rPr>
        <w:t>Alfa i Omega je stavio svoj potpis „Istina” na tri poruke, jer je hebrejska riječ prevedena kao „istina” stvorena od strane Čudesnoga Jezikoslovca spajanjem prvoga, trinaestoga i posljednjega slova hebrejskoga alfabeta. „Trinaest” kao simbol predstavlja pobunu, i upravo se u drugoj poruci prepoznaje pobuna Babilona, predstavljena njegovim lažnim naukama i bludom. Kao što je već zapaženo, druga poruka također sadrži potpis Alfe i Omege, jer se poruka koja je bila objavljena u mileritskoj povijesti da najavi otvaranje suda ponavlja u pokretu trećega anđela kako bi označila završetak suda.</w:t>
      </w:r>
    </w:p>
    <w:p>
      <w:pPr>
        <w:pStyle w:val="ArticleBody"/>
        <w:jc w:val="left"/>
      </w:pPr>
      <w:r>
        <w:rPr>
          <w:rFonts w:ascii="Times New Roman" w:hAnsi="Times New Roman" w:eastAsia="Times New Roman" w:cs="Times New Roman"/>
        </w:rPr>
        <w:t>Căderea Babelului din Geneza, capitolul unsprezece, este prima referire la căderea Babilonului, iar mărturia răzvrătirii sfidătoare a lui Nimrod poartă semnătura soliei primului înger. Așa cum s-a demonstrat în articolele anterioare, toate cele trei solii ale celor trei îngeri se găsesc, de asemenea, în cadrul soliei primului înger. În solia primului înger, expresia „temeți-vă de Dumnezeu” reprezintă prima solie, iar expresia „dați-I slavă” reprezintă solia celui de-al doilea înger. A treia solie se găsește în cea dintâi, atunci când aceasta vestește că „a sosit ceasul judecății Lui”.</w:t>
      </w:r>
    </w:p>
    <w:p>
      <w:pPr>
        <w:pStyle w:val="ArticleBody"/>
        <w:jc w:val="left"/>
      </w:pPr>
      <w:r>
        <w:rPr>
          <w:rFonts w:ascii="Times New Roman" w:hAnsi="Times New Roman" w:eastAsia="Times New Roman" w:cs="Times New Roman"/>
        </w:rPr>
        <w:t>În căderea lui Nimrod, care este prima cădere a Babilonului, sunt de asemenea identificate cele trei trepte ale celor trei îngeri. Aceasta este reprezentată prin expresia „haideți”.</w:t>
      </w:r>
    </w:p>
    <w:p>
      <w:pPr>
        <w:pStyle w:val="ArticleScripture"/>
        <w:jc w:val="left"/>
      </w:pPr>
      <w:r>
        <w:rPr>
          <w:rFonts w:ascii="Times New Roman" w:hAnsi="Times New Roman" w:eastAsia="Times New Roman" w:cs="Times New Roman"/>
        </w:rPr>
        <w:t>Și tot pământul avea o singură limbă și aceeași vorbire. Și s-a întâmplat că, pe când călătoreau dinspre răsărit, au găsit o câmpie în țara Șinear; și au locuit acolo. Și au zis unul către altul: Haideți să facem cărămizi și să le ardem bine. Și aveau cărămidă în loc de piatră, iar smoală aveau în loc de mortar. Și au zis: Haideți să ne zidim o cetate și un turn, al cărui vârf să ajungă până la cer; și să ne facem un nume, ca nu cumva să fim împrăștiați pe fața întregului pământ. Și Domnul S-a coborât să vadă cetatea și turnul pe care le zideau fiii oamenilor. Și Domnul a zis: Iată, poporul este unul și toți au o singură limbă; și iată ce au început să facă; iar acum nimic din ceea ce și-au pus în gând să facă nu le va fi oprit. Haideți să Ne coborâm și să le încurcăm acolo limba, ca să nu mai înțeleagă unul vorbirea altuia. Astfel Domnul i-a împrăștiat de acolo pe fața întregului pământ; și au încetat să mai zidească cetatea. De aceea i s-a pus numele Babel, pentru că acolo a încurcat Domnul limba întregului pământ; și de acolo i-a împrăștiat Domnul pe fața întregului pământ. Geneza 11:1–9.</w:t>
      </w:r>
    </w:p>
    <w:p>
      <w:pPr>
        <w:pStyle w:val="ArticleBody"/>
        <w:jc w:val="left"/>
      </w:pPr>
      <w:r>
        <w:rPr>
          <w:rFonts w:ascii="Times New Roman" w:hAnsi="Times New Roman" w:eastAsia="Times New Roman" w:cs="Times New Roman"/>
        </w:rPr>
        <w:t>Prima cădere a Babilonului, reprezentată ca Babel, este exprimată prin „haideți”, de trei ori. Cei trei îngeri sunt toți reprezentați în primul înger. Capitolul întâi din Daniel reprezintă, de asemenea, solia primului înger și, după cum s-a arătat anterior în aceste articole, procesul de încercare în trei pași al Evangheliei veșnice se găsește în pasul întâi, când Daniel a refuzat să mănânce hrana Babilonului și a ales, în schimb, să-I dea slavă lui Dumnezeu. Prima sa probă a fost proba primului înger, care a coborât în istoria millerită la 11 august 1840 cu o cărticică, pe care lui Ioan i s-a poruncit să o mănânce.</w:t>
      </w:r>
    </w:p>
    <w:p>
      <w:pPr>
        <w:pStyle w:val="ArticleBody"/>
        <w:jc w:val="left"/>
      </w:pPr>
      <w:r>
        <w:rPr>
          <w:rFonts w:ascii="Times New Roman" w:hAnsi="Times New Roman" w:eastAsia="Times New Roman" w:cs="Times New Roman"/>
        </w:rPr>
        <w:t>Apoi i s-a dat o probă vizuală de zece zile, care a demonstrat o deosebire între cei care mâncau hrana Babilonului și cei care, asemenea lui Daniel, au ales să mănânce leguminoase. A doua probă a produs două categorii, întocmai cum a făcut și venirea celui de-al doilea înger în 1844. Acea a doua probă a fost urmată de încercarea de la sfârșitul celor trei ani, când Nebucadnețar și-a manifestat judecata, așa cum este reprezentat prin venirea celui de-al treilea înger la 22 octombrie 1844.</w:t>
      </w:r>
    </w:p>
    <w:p>
      <w:pPr>
        <w:pStyle w:val="ArticleBody"/>
        <w:jc w:val="left"/>
      </w:pPr>
      <w:r>
        <w:rPr>
          <w:rFonts w:ascii="Times New Roman" w:hAnsi="Times New Roman" w:eastAsia="Times New Roman" w:cs="Times New Roman"/>
        </w:rPr>
        <w:t>După potop, Noe a fost îndrumat să ridice altare, iar, făcând aceasta, nu trebuia niciodată să taie sau să cioplească pietrele pe care le folosea și nici să întrebuințeze mortar pentru altarul său. Răzvrătitul Nimrod a folosit cărămizi și mortar, contrafăcând altarul relației de legământ care fusese rânduit să fie folosit de cei care repopulau pământul. Primul „haidem” din mărturia lui Nimrod reprezintă un „legământ cu moartea”, care a fost încheiat în răzvrătire împotriva primei solii. Al doilea „haidem” reprezintă zidirea unui turn (o Biserică) și a unei cetăți (un Stat). Al doilea „haidem” din mărturia lui Nimrod a fost unirea dintre Biserică și Stat, care este curvia din solia celui de-al doilea înger. Al treilea „haidem” a reprezentat judecata împrăștierii oamenilor și a încurcării limbii.</w:t>
      </w:r>
    </w:p>
    <w:p>
      <w:pPr>
        <w:pStyle w:val="ArticleBody"/>
        <w:jc w:val="left"/>
      </w:pPr>
      <w:r>
        <w:rPr>
          <w:rFonts w:ascii="Times New Roman" w:hAnsi="Times New Roman" w:eastAsia="Times New Roman" w:cs="Times New Roman"/>
        </w:rPr>
        <w:t>Prima cădere a Babilonului prefigurează solia primului înger, iar a doua cădere a Babilonului, în cele două manifestări care stabilesc elementele căderii Babilonului modern, prefigurează solia celui de-al doilea înger. Aceasta se întâmplă astfel deoarece căderea Babilonului, aşa cum este consemnată în cartea lui Daniel, reprezintă un început şi un sfârşit, tot aşa cum solia celui de-al doilea înger este proclamată la începutul şi la sfârşitul adventismului. Sora White a identificat în mod specific faptul că judecata adusă asupra lui Belşaţar fusese prefigurată de judecata care fusese adusă asupra lui Nebucadneţar.</w:t>
      </w:r>
    </w:p>
    <w:p>
      <w:pPr>
        <w:pStyle w:val="ArticleScripture"/>
        <w:jc w:val="left"/>
      </w:pPr>
      <w:r>
        <w:rPr>
          <w:rFonts w:ascii="Times New Roman" w:hAnsi="Times New Roman" w:eastAsia="Times New Roman" w:cs="Times New Roman"/>
        </w:rPr>
        <w:t>„Ultimului conducător al Babilonului, precum în mod tipologic celui dintâi, îi venise sentința Veghetorului divin: «Împărate, ... ți se spune: împărăția s-a depărtat de la tine.» Daniel 4:31.” Profeți și Regi, 533.</w:t>
      </w:r>
    </w:p>
    <w:p>
      <w:pPr>
        <w:pStyle w:val="ArticleBody"/>
        <w:jc w:val="left"/>
      </w:pPr>
      <w:r>
        <w:rPr>
          <w:rFonts w:ascii="Leelawadee UI" w:hAnsi="Leelawadee UI" w:eastAsia="Leelawadee UI" w:cs="Leelawadee UI"/>
        </w:rPr>
        <w:t>ការដួលរលំលើកទីពីររបស់បាប៊ីឡូន</w:t>
      </w:r>
      <w:r>
        <w:rPr>
          <w:rFonts w:ascii="Times New Roman" w:hAnsi="Times New Roman" w:eastAsia="Times New Roman" w:cs="Times New Roman"/>
        </w:rPr>
        <w:t xml:space="preserve"> </w:t>
      </w:r>
      <w:r>
        <w:rPr>
          <w:rFonts w:ascii="Leelawadee UI" w:hAnsi="Leelawadee UI" w:eastAsia="Leelawadee UI" w:cs="Leelawadee UI"/>
        </w:rPr>
        <w:t>មានត្រាសម្គាល់របស់អាល់ហ្វា</w:t>
      </w:r>
      <w:r>
        <w:rPr>
          <w:rFonts w:ascii="Times New Roman" w:hAnsi="Times New Roman" w:eastAsia="Times New Roman" w:cs="Times New Roman"/>
        </w:rPr>
        <w:t xml:space="preserve"> </w:t>
      </w:r>
      <w:r>
        <w:rPr>
          <w:rFonts w:ascii="Leelawadee UI" w:hAnsi="Leelawadee UI" w:eastAsia="Leelawadee UI" w:cs="Leelawadee UI"/>
        </w:rPr>
        <w:t>និងអូមេហ្គា</w:t>
      </w:r>
      <w:r>
        <w:rPr>
          <w:rFonts w:ascii="Times New Roman" w:hAnsi="Times New Roman" w:eastAsia="Times New Roman" w:cs="Times New Roman"/>
        </w:rPr>
        <w:t xml:space="preserve"> </w:t>
      </w:r>
      <w:r>
        <w:rPr>
          <w:rFonts w:ascii="Leelawadee UI" w:hAnsi="Leelawadee UI" w:eastAsia="Leelawadee UI" w:cs="Leelawadee UI"/>
        </w:rPr>
        <w:t>ដូចគ្នានឹងសាររបស់ទេវតាទីពីរផងដែរ។</w:t>
      </w:r>
      <w:r>
        <w:rPr>
          <w:rFonts w:ascii="Times New Roman" w:hAnsi="Times New Roman" w:eastAsia="Times New Roman" w:cs="Times New Roman"/>
        </w:rPr>
        <w:t xml:space="preserve"> </w:t>
      </w:r>
      <w:r>
        <w:rPr>
          <w:rFonts w:ascii="Leelawadee UI" w:hAnsi="Leelawadee UI" w:eastAsia="Leelawadee UI" w:cs="Leelawadee UI"/>
        </w:rPr>
        <w:t>ត្រាសម្គាល់នេះត្រូវបានតំណាងដោយការដួលរលំនៃស្ដេចទីមួយ</w:t>
      </w:r>
      <w:r>
        <w:rPr>
          <w:rFonts w:ascii="Times New Roman" w:hAnsi="Times New Roman" w:eastAsia="Times New Roman" w:cs="Times New Roman"/>
        </w:rPr>
        <w:t xml:space="preserve"> </w:t>
      </w:r>
      <w:r>
        <w:rPr>
          <w:rFonts w:ascii="Leelawadee UI" w:hAnsi="Leelawadee UI" w:eastAsia="Leelawadee UI" w:cs="Leelawadee UI"/>
        </w:rPr>
        <w:t>និងស្ដេចចុងក្រោយរបស់បាប៊ីឡូន។</w:t>
      </w:r>
      <w:r>
        <w:rPr>
          <w:rFonts w:ascii="Times New Roman" w:hAnsi="Times New Roman" w:eastAsia="Times New Roman" w:cs="Times New Roman"/>
        </w:rPr>
        <w:t xml:space="preserve"> </w:t>
      </w:r>
      <w:r>
        <w:rPr>
          <w:rFonts w:ascii="Leelawadee UI" w:hAnsi="Leelawadee UI" w:eastAsia="Leelawadee UI" w:cs="Leelawadee UI"/>
        </w:rPr>
        <w:t>ការជំនុំជម្រះ</w:t>
      </w:r>
      <w:r>
        <w:rPr>
          <w:rFonts w:ascii="Times New Roman" w:hAnsi="Times New Roman" w:eastAsia="Times New Roman" w:cs="Times New Roman"/>
        </w:rPr>
        <w:t xml:space="preserve"> </w:t>
      </w:r>
      <w:r>
        <w:rPr>
          <w:rFonts w:ascii="Leelawadee UI" w:hAnsi="Leelawadee UI" w:eastAsia="Leelawadee UI" w:cs="Leelawadee UI"/>
        </w:rPr>
        <w:t>និងការដួលរលំរបស់នេប៊ូក្នេសា</w:t>
      </w:r>
      <w:r>
        <w:rPr>
          <w:rFonts w:ascii="Times New Roman" w:hAnsi="Times New Roman" w:eastAsia="Times New Roman" w:cs="Times New Roman"/>
        </w:rPr>
        <w:t xml:space="preserve"> </w:t>
      </w:r>
      <w:r>
        <w:rPr>
          <w:rFonts w:ascii="Leelawadee UI" w:hAnsi="Leelawadee UI" w:eastAsia="Leelawadee UI" w:cs="Leelawadee UI"/>
        </w:rPr>
        <w:t>ត្រូវបានតំណាងថាជា</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ដែលជាការយោងទៅកាន់</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នៃលេវីវិន័យ</w:t>
      </w:r>
      <w:r>
        <w:rPr>
          <w:rFonts w:ascii="Times New Roman" w:hAnsi="Times New Roman" w:eastAsia="Times New Roman" w:cs="Times New Roman"/>
        </w:rPr>
        <w:t xml:space="preserve"> </w:t>
      </w:r>
      <w:r>
        <w:rPr>
          <w:rFonts w:ascii="Leelawadee UI" w:hAnsi="Leelawadee UI" w:eastAsia="Leelawadee UI" w:cs="Leelawadee UI"/>
        </w:rPr>
        <w:t>ជំពូកម្ភៃប្រាំមួយ</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ការបែកខ្ចាត់ខ្ចាយ</w:t>
      </w:r>
      <w:r>
        <w:rPr>
          <w:rFonts w:ascii="Times New Roman" w:hAnsi="Times New Roman" w:eastAsia="Times New Roman" w:cs="Times New Roman"/>
        </w:rPr>
        <w:t xml:space="preserve">» </w:t>
      </w:r>
      <w:r>
        <w:rPr>
          <w:rFonts w:ascii="Leelawadee UI" w:hAnsi="Leelawadee UI" w:eastAsia="Leelawadee UI" w:cs="Leelawadee UI"/>
        </w:rPr>
        <w:t>ក្នុងការជំនុំជម្រះ</w:t>
      </w:r>
      <w:r>
        <w:rPr>
          <w:rFonts w:ascii="Times New Roman" w:hAnsi="Times New Roman" w:eastAsia="Times New Roman" w:cs="Times New Roman"/>
        </w:rPr>
        <w:t xml:space="preserve"> </w:t>
      </w:r>
      <w:r>
        <w:rPr>
          <w:rFonts w:ascii="Leelawadee UI" w:hAnsi="Leelawadee UI" w:eastAsia="Leelawadee UI" w:cs="Leelawadee UI"/>
        </w:rPr>
        <w:t>និងការដួលរលំរបស់និមរ៉ូឌ</w:t>
      </w:r>
      <w:r>
        <w:rPr>
          <w:rFonts w:ascii="Times New Roman" w:hAnsi="Times New Roman" w:eastAsia="Times New Roman" w:cs="Times New Roman"/>
        </w:rPr>
        <w:t xml:space="preserve"> </w:t>
      </w:r>
      <w:r>
        <w:rPr>
          <w:rFonts w:ascii="Leelawadee UI" w:hAnsi="Leelawadee UI" w:eastAsia="Leelawadee UI" w:cs="Leelawadee UI"/>
        </w:rPr>
        <w:t>ក៏ជាការយោងទៅកាន់</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នៃលេវីវិន័យ</w:t>
      </w:r>
      <w:r>
        <w:rPr>
          <w:rFonts w:ascii="Times New Roman" w:hAnsi="Times New Roman" w:eastAsia="Times New Roman" w:cs="Times New Roman"/>
        </w:rPr>
        <w:t xml:space="preserve"> </w:t>
      </w:r>
      <w:r>
        <w:rPr>
          <w:rFonts w:ascii="Leelawadee UI" w:hAnsi="Leelawadee UI" w:eastAsia="Leelawadee UI" w:cs="Leelawadee UI"/>
        </w:rPr>
        <w:t>ជំពូកម្ភៃប្រាំមួយ</w:t>
      </w:r>
      <w:r>
        <w:rPr>
          <w:rFonts w:ascii="Times New Roman" w:hAnsi="Times New Roman" w:eastAsia="Times New Roman" w:cs="Times New Roman"/>
        </w:rPr>
        <w:t xml:space="preserve"> </w:t>
      </w:r>
      <w:r>
        <w:rPr>
          <w:rFonts w:ascii="Leelawadee UI" w:hAnsi="Leelawadee UI" w:eastAsia="Leelawadee UI" w:cs="Leelawadee UI"/>
        </w:rPr>
        <w:t>ដែរ។</w:t>
      </w:r>
      <w:r>
        <w:rPr>
          <w:rFonts w:ascii="Times New Roman" w:hAnsi="Times New Roman" w:eastAsia="Times New Roman" w:cs="Times New Roman"/>
        </w:rPr>
        <w:t xml:space="preserve"> </w:t>
      </w:r>
      <w:r>
        <w:rPr>
          <w:rFonts w:ascii="Leelawadee UI" w:hAnsi="Leelawadee UI" w:eastAsia="Leelawadee UI" w:cs="Leelawadee UI"/>
        </w:rPr>
        <w:t>ការជំនុំជម្រះ</w:t>
      </w:r>
      <w:r>
        <w:rPr>
          <w:rFonts w:ascii="Times New Roman" w:hAnsi="Times New Roman" w:eastAsia="Times New Roman" w:cs="Times New Roman"/>
        </w:rPr>
        <w:t xml:space="preserve"> </w:t>
      </w:r>
      <w:r>
        <w:rPr>
          <w:rFonts w:ascii="Leelawadee UI" w:hAnsi="Leelawadee UI" w:eastAsia="Leelawadee UI" w:cs="Leelawadee UI"/>
        </w:rPr>
        <w:t>និងការដួលរលំរបស់បេលសាសារ</w:t>
      </w:r>
      <w:r>
        <w:rPr>
          <w:rFonts w:ascii="Times New Roman" w:hAnsi="Times New Roman" w:eastAsia="Times New Roman" w:cs="Times New Roman"/>
        </w:rPr>
        <w:t xml:space="preserve"> </w:t>
      </w:r>
      <w:r>
        <w:rPr>
          <w:rFonts w:ascii="Leelawadee UI" w:hAnsi="Leelawadee UI" w:eastAsia="Leelawadee UI" w:cs="Leelawadee UI"/>
        </w:rPr>
        <w:t>ត្រូវបានតំណាងដោយអក្សរភ្លើង</w:t>
      </w:r>
      <w:r>
        <w:rPr>
          <w:rFonts w:ascii="Times New Roman" w:hAnsi="Times New Roman" w:eastAsia="Times New Roman" w:cs="Times New Roman"/>
        </w:rPr>
        <w:t xml:space="preserve"> </w:t>
      </w:r>
      <w:r>
        <w:rPr>
          <w:rFonts w:ascii="Leelawadee UI" w:hAnsi="Leelawadee UI" w:eastAsia="Leelawadee UI" w:cs="Leelawadee UI"/>
        </w:rPr>
        <w:t>ដែលបូកសរុបបានពីរពាន់ប្រាំរយម្ភៃ</w:t>
      </w:r>
      <w:r>
        <w:rPr>
          <w:rFonts w:ascii="Times New Roman" w:hAnsi="Times New Roman" w:eastAsia="Times New Roman" w:cs="Times New Roman"/>
        </w:rPr>
        <w:t xml:space="preserve"> </w:t>
      </w:r>
      <w:r>
        <w:rPr>
          <w:rFonts w:ascii="Leelawadee UI" w:hAnsi="Leelawadee UI" w:eastAsia="Leelawadee UI" w:cs="Leelawadee UI"/>
        </w:rPr>
        <w:t>ដោយកំណត់អត្តសញ្ញាណផងដែរថាជាការយោងទៅកាន់</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នៃលេវីវិន័យ</w:t>
      </w:r>
      <w:r>
        <w:rPr>
          <w:rFonts w:ascii="Times New Roman" w:hAnsi="Times New Roman" w:eastAsia="Times New Roman" w:cs="Times New Roman"/>
        </w:rPr>
        <w:t xml:space="preserve"> </w:t>
      </w:r>
      <w:r>
        <w:rPr>
          <w:rFonts w:ascii="Leelawadee UI" w:hAnsi="Leelawadee UI" w:eastAsia="Leelawadee UI" w:cs="Leelawadee UI"/>
        </w:rPr>
        <w:t>ជំពូកម្ភៃប្រាំមួយ។</w:t>
      </w:r>
    </w:p>
    <w:p>
      <w:pPr>
        <w:pStyle w:val="ArticleBody"/>
        <w:jc w:val="left"/>
      </w:pPr>
      <w:r>
        <w:rPr>
          <w:rFonts w:ascii="Times New Roman" w:hAnsi="Times New Roman" w:eastAsia="Times New Roman" w:cs="Times New Roman"/>
        </w:rPr>
        <w:t>O „întreită aplicare a profeției” este stabilită de primele două mărturii care identifică și stabilesc caracteristicile celei de-a treia și ultime împliniri. Prin cele trei căderi ale Babilonului, chiar mesajul care identifică căderea Babilonului identifică, de asemenea, regula pe care se întemeiază întreita aplicare a profeției. Primele două căderi ale Babilonului identifică caracteristicile profetice ale celei de-a treia și ultimei căderi.</w:t>
      </w:r>
    </w:p>
    <w:p>
      <w:pPr>
        <w:pStyle w:val="ArticleBody"/>
        <w:jc w:val="left"/>
      </w:pPr>
      <w:r>
        <w:rPr>
          <w:rFonts w:ascii="Times New Roman" w:hAnsi="Times New Roman" w:eastAsia="Times New Roman" w:cs="Times New Roman"/>
        </w:rPr>
        <w:t>Historia mișcării millerite se repetă până la cea mai mică literă în istoria Future for America. În istoria millerită, o compilație de reguli cu care William Miller s-a familiarizat și pe care le-a folosit pentru a stabili cadrul adevărului de care s-a slujit în prezentarea soliei primului înger a fost un semn de hotar al acelei istorii. O „întreită aplicare a profeției” este una dintre regulile care au fost compilate în aceste zile de pe urmă pentru a stabili cadrul adevărului în care este identificată solia celui de-al treilea înger.</w:t>
      </w:r>
    </w:p>
    <w:p>
      <w:pPr>
        <w:pStyle w:val="ArticleBody"/>
        <w:jc w:val="left"/>
      </w:pPr>
      <w:r>
        <w:rPr>
          <w:rFonts w:ascii="Times New Roman" w:hAnsi="Times New Roman" w:eastAsia="Times New Roman" w:cs="Times New Roman"/>
        </w:rPr>
        <w:t>Cele trei manifestări ale Romei, împreună cu cele trei manifestări ale căderii Babilonului, sunt strâns legate, dar prezintă deosebiri. Curva Tirului, sau a Babilonului, care curvește cu împărații pământului este un singur trup cu ei, însă ea domnește peste acei împărați, așa cum Izabela a domnit peste împăratul Ahab. Roma modernă este fiara din Apocalipsa șaptesprezece, pe care curva Babilonului modern o călărește și peste care domnește.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“Atunci ochii mi-au fost luați de la slavă și mi-a fost arășița de pe pământ. Îngerul le-a spus: «Veți fugi de cele șapte plăgi de pe urmă? Veți merge la slavă și vă veți bucura de tot ceea ce Dumnezeu a pregătit pentru cei ce-L iubesc și sunt gata să sufere pentru Numele Lui? Dacă da, trebuie să muriți ca să puteți trăi. Pregătiți-vă, pregătiți-vă, pregătiți-vă. Trebuie să aveți o pregătire mai mare decât aveți acum, căci ziua Domnului vine, cumplită, cu mânie și aprindere de urgie, ca să prefacă țara într-un pustiu și să nimicească din ea pe păcătoși. Jertfiți totul lui Dumnezeu. Puneți totul pe altarul Său—eul, averea și toate—ca o jertfă vie. Va trebui totul pentru a intra în slavă. Strângeți-vă comori în cer, unde niciun hoț nu se poate apropia și unde rugina nu strică. Trebuie să fiți părtași ai suferințelor lui Hristos aici, dacă voiți să fiți părtași împreună cu El la slava Lui în veacul ce va veni.»”</w:t>
      </w:r>
    </w:p>
    <w:p>
      <w:pPr>
        <w:pStyle w:val="ArticleScripture"/>
        <w:jc w:val="left"/>
      </w:pPr>
      <w:r>
        <w:rPr>
          <w:rFonts w:ascii="Times New Roman" w:hAnsi="Times New Roman" w:eastAsia="Times New Roman" w:cs="Times New Roman"/>
        </w:rPr>
        <w:t>„Cerul va fi destul de ieftin, dacă îl vom dobândi prin suferință. Trebuie să ne tăgăduim eul pe tot parcursul căii, să murim zilnic față de eu, să-L lăsăm numai pe Isus să Se arate și să păstrăm neîncetat înaintea privirii slava Sa. Am văzut că aceia care, în ultima vreme, au îmbrățișat adevărul vor trebui să cunoască ce înseamnă să sufere pentru Hristos, că vor avea de trecut prin încercări ascuțite și pătrunzătoare, pentru ca să fie curățiți și făcuți vrednici, prin suferință, să primească sigiliul viului Dumnezeu, să treacă prin vremea strâmtorării, să-L vadă pe Rege în frumusețea Sa și să locuiască în prezența lui Dumnezeu și a îngerilor curați și sfinți.”</w:t>
      </w:r>
    </w:p>
    <w:p>
      <w:pPr>
        <w:pStyle w:val="ArticleScripture"/>
        <w:jc w:val="left"/>
      </w:pPr>
      <w:r>
        <w:rPr>
          <w:rFonts w:ascii="Times New Roman" w:hAnsi="Times New Roman" w:eastAsia="Times New Roman" w:cs="Times New Roman"/>
        </w:rPr>
        <w:t>„Când am văzut ceea ce trebuie să fim pentru a moșteni slava, iar apoi am văzut cât de mult suferise Isus pentru a dobândi pentru noi o moștenire atât de bogată, m-am rugat ca noi să fim botezați în suferințele lui Hristos, ca să nu ne dăm înapoi dinaintea încercărilor, ci să le purtăm cu răbdare și bucurie, știind cât a suferit Isus, pentru ca noi, prin sărăcia și suferințele Lui, să fim făcuți bogați. Îngerul a spus: «Lepădați-vă de sine; trebuie să pășiți repede.» Unii dintre noi au avut timp să primească adevărul și să înainteze pas cu pas, iar fiecare pas pe care l-am făcut ne-a dat putere să-l facem pe următorul. Dar acum timpul este aproape încheiat, iar ceea ce noi am învățat în ani de zile, ei vor trebui să învețe în câteva luni. De asemenea, ei vor avea mult de dezvățat și mult de învățat din nou. Cei care nu vor primi semnul fiarei și al chipului ei atunci când decretul va fi dat, trebuie să aibă acum hotărârea de a spune: Nu, noi nu vom recunoaște instituția fiarei.”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Nouăzeci și cinci</dc:title>
  <dc:subject>Dezvăluirea semnificației profetice a soliei celui de-al doilea înger</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