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doi</w:t>
      </w:r>
    </w:p>
    <w:p>
      <w:pPr>
        <w:pStyle w:val="ArticleSubtitle"/>
        <w:jc w:val="left"/>
      </w:pPr>
      <w:r>
        <w:rPr>
          <w:rFonts w:ascii="Microsoft YaHei" w:hAnsi="Microsoft YaHei" w:eastAsia="Microsoft YaHei" w:cs="Microsoft YaHei"/>
        </w:rPr>
        <w:t>美国、</w:t>
      </w:r>
      <w:r>
        <w:rPr>
          <w:rFonts w:ascii="Arial" w:hAnsi="Arial" w:eastAsia="Arial" w:cs="Arial"/>
        </w:rPr>
        <w:t>«</w:t>
      </w:r>
      <w:r>
        <w:rPr>
          <w:rFonts w:ascii="Microsoft YaHei" w:hAnsi="Microsoft YaHei" w:eastAsia="Microsoft YaHei" w:cs="Microsoft YaHei"/>
        </w:rPr>
        <w:t>爱国者法案</w:t>
      </w:r>
      <w:r>
        <w:rPr>
          <w:rFonts w:ascii="Arial" w:hAnsi="Arial" w:eastAsia="Arial" w:cs="Arial"/>
        </w:rPr>
        <w:t>»</w:t>
      </w:r>
      <w:r>
        <w:rPr>
          <w:rFonts w:ascii="Microsoft YaHei" w:hAnsi="Microsoft YaHei" w:eastAsia="Microsoft YaHei" w:cs="Microsoft YaHei"/>
        </w:rPr>
        <w:t>与通往预言应验之路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Încheiasem ultimul articol cu propoziția care afirma: „În 2001, guvernul Statelor Unite a promulgat Patriot Act ca lege.”</w:t>
      </w:r>
    </w:p>
    <w:p>
      <w:pPr>
        <w:pStyle w:val="ArticleScripture"/>
        <w:jc w:val="left"/>
      </w:pPr>
      <w:r>
        <w:rPr>
          <w:rFonts w:ascii="Times New Roman" w:hAnsi="Times New Roman" w:eastAsia="Times New Roman" w:cs="Times New Roman"/>
        </w:rPr>
        <w:t>„Sunt mulți, chiar dintre cei angajați în această mișcare pentru impunerea duminicii, care sunt orbi față de urmările ce vor urma acestei acțiuni. Ei nu văd că lovesc direct împotriva libertății religioase. Sunt mulți care nu au înțeles niciodată pretențiile Sabatului biblic și temelia falsă pe care se sprijină instituția duminicii. Orice mișcare în favoarea legislației religioase este, în realitate, un act de concesie făcut papalității, care, timp de atâtea veacuri, a purtat necontenit război împotriva libertății de conștiință. Păzirea duminicii își datorează existența, ca pretinsă instituție creștină, „tainei fărădelegii”; iar impunerea ei va fi o recunoaștere de fapt a principiilor care constituie însăși piatra de temelie a romanismului. Când națiunea noastră va lepăda astfel principiile guvernării sale, până acolo încât să adopte o lege duminicală, protestantismul, prin acest act, va da mâna cu papalitatea; aceasta nu va fi nimic altceva decât a da viață tiraniei care de multă vreme își pândește cu înfrigurare ocazia de a se năpusti din nou într-un despotism activ.” Testimonies, volumul 5, 711.</w:t>
      </w:r>
    </w:p>
    <w:p>
      <w:pPr>
        <w:pStyle w:val="ArticleBody"/>
        <w:jc w:val="left"/>
      </w:pPr>
      <w:r>
        <w:rPr>
          <w:rFonts w:ascii="Times New Roman" w:hAnsi="Times New Roman" w:eastAsia="Times New Roman" w:cs="Times New Roman"/>
        </w:rPr>
        <w:t>1888 a prefigurat anul 2001, și atunci a fost introdus Blair Bill; însă nereușita adoptării lui l-a împiedicat să vorbească din punct de vedere profetic. El a devenit semnul anului 66 d.Hr., un asediu care a fost inițiat și apoi retras în chip misterios. Când se înțelege că există două perioade de testare ale chipului fiarei și că a doua perioadă începe odată cu legea duminicală din Statele Unite, prefigurată de anul 321, iar perioada se încheie atunci când legea duminicală mondială, prefigurată de 538, este pe deplin impusă, atunci aceasta cere din punct de vedere profetic ca începutul primei perioade de testare a chipului fiarei să înceapă, de asemenea, cu un anumit tip de prefigurare a rostirii unei legi duminicale. În 1888, Blair Bill a fost o încercare de a impune o lege duminicală națională, iar 1888 identifică momentul când îngerul din Apocalipsa optsprezece coboară și luminează pământul cu slava sa.</w:t>
      </w:r>
    </w:p>
    <w:p>
      <w:pPr>
        <w:pStyle w:val="ArticleBody"/>
        <w:jc w:val="left"/>
      </w:pPr>
      <w:r>
        <w:rPr>
          <w:rFonts w:ascii="Times New Roman" w:hAnsi="Times New Roman" w:eastAsia="Times New Roman" w:cs="Times New Roman"/>
        </w:rPr>
        <w:t>Legea Patriot este tipificarea unei legi duminicale care începe timpul de probă al imaginii fiarei în Statele Unite. Statele Unite vorbesc ca un balaur, în împlinirea Apocalipsa capitolul treisprezece, versetul unsprezece, atunci când impun legea duminicală. Când vor impune acea lege, vor vorbi ca un balaur, iar acea lege duminicală identifică faptul că imaginea fiarei este pe deplin formată în Statele Unite. În acel punct, Statele Unite și-au umplut cupa timpului lor de probă, iar apostazia națională este urmată de ruină națională. În acel punct, Statele Unite încetează să mai fie a șasea împărăție a profeției biblice, pe măsură ce unirea întreită este stabilită.</w:t>
      </w:r>
    </w:p>
    <w:p>
      <w:pPr>
        <w:pStyle w:val="ArticleBody"/>
        <w:jc w:val="left"/>
      </w:pPr>
      <w:r>
        <w:rPr>
          <w:rFonts w:ascii="Nirmala UI" w:hAnsi="Nirmala UI" w:eastAsia="Nirmala UI" w:cs="Nirmala UI"/>
        </w:rPr>
        <w:t>ಆಲ್ಫಾ</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ಓಮೆಗಾ</w:t>
      </w:r>
      <w:r>
        <w:rPr>
          <w:rFonts w:ascii="Times New Roman" w:hAnsi="Times New Roman" w:eastAsia="Times New Roman" w:cs="Times New Roman"/>
        </w:rPr>
        <w:t xml:space="preserve"> </w:t>
      </w:r>
      <w:r>
        <w:rPr>
          <w:rFonts w:ascii="Nirmala UI" w:hAnsi="Nirmala UI" w:eastAsia="Nirmala UI" w:cs="Nirmala UI"/>
        </w:rPr>
        <w:t>ಎಂದಿಗೂ</w:t>
      </w:r>
      <w:r>
        <w:rPr>
          <w:rFonts w:ascii="Times New Roman" w:hAnsi="Times New Roman" w:eastAsia="Times New Roman" w:cs="Times New Roman"/>
        </w:rPr>
        <w:t xml:space="preserve"> </w:t>
      </w:r>
      <w:r>
        <w:rPr>
          <w:rFonts w:ascii="Nirmala UI" w:hAnsi="Nirmala UI" w:eastAsia="Nirmala UI" w:cs="Nirmala UI"/>
        </w:rPr>
        <w:t>ಅಂತ್ಯವನ್ನು</w:t>
      </w:r>
      <w:r>
        <w:rPr>
          <w:rFonts w:ascii="Times New Roman" w:hAnsi="Times New Roman" w:eastAsia="Times New Roman" w:cs="Times New Roman"/>
        </w:rPr>
        <w:t xml:space="preserve"> </w:t>
      </w:r>
      <w:r>
        <w:rPr>
          <w:rFonts w:ascii="Nirmala UI" w:hAnsi="Nirmala UI" w:eastAsia="Nirmala UI" w:cs="Nirmala UI"/>
        </w:rPr>
        <w:t>ಆರಂಭದೊಡನೆ</w:t>
      </w:r>
      <w:r>
        <w:rPr>
          <w:rFonts w:ascii="Times New Roman" w:hAnsi="Times New Roman" w:eastAsia="Times New Roman" w:cs="Times New Roman"/>
        </w:rPr>
        <w:t xml:space="preserve"> </w:t>
      </w:r>
      <w:r>
        <w:rPr>
          <w:rFonts w:ascii="Nirmala UI" w:hAnsi="Nirmala UI" w:eastAsia="Nirmala UI" w:cs="Nirmala UI"/>
        </w:rPr>
        <w:t>ಚಿತ್ರಿಸುತ್ತದೆ</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ಆರಂಭದಲ್ಲಿ</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ಪ್ರವಾದನಾತ್ಮಕವಾಗಿ</w:t>
      </w:r>
      <w:r>
        <w:rPr>
          <w:rFonts w:ascii="Times New Roman" w:hAnsi="Times New Roman" w:eastAsia="Times New Roman" w:cs="Times New Roman"/>
        </w:rPr>
        <w:t xml:space="preserve"> </w:t>
      </w:r>
      <w:r>
        <w:rPr>
          <w:rFonts w:ascii="Nirmala UI" w:hAnsi="Nirmala UI" w:eastAsia="Nirmala UI" w:cs="Nirmala UI"/>
        </w:rPr>
        <w:t>ಮಾತಾಡಿದ</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ಸಂದರ್ಭಗಳು</w:t>
      </w:r>
      <w:r>
        <w:rPr>
          <w:rFonts w:ascii="Times New Roman" w:hAnsi="Times New Roman" w:eastAsia="Times New Roman" w:cs="Times New Roman"/>
        </w:rPr>
        <w:t xml:space="preserve"> </w:t>
      </w:r>
      <w:r>
        <w:rPr>
          <w:rFonts w:ascii="Nirmala UI" w:hAnsi="Nirmala UI" w:eastAsia="Nirmala UI" w:cs="Nirmala UI"/>
        </w:rPr>
        <w:t>ಇದ್ದವು</w:t>
      </w:r>
      <w:r>
        <w:rPr>
          <w:rFonts w:ascii="Times New Roman" w:hAnsi="Times New Roman" w:eastAsia="Times New Roman" w:cs="Times New Roman"/>
        </w:rPr>
        <w:t xml:space="preserve">, </w:t>
      </w:r>
      <w:r>
        <w:rPr>
          <w:rFonts w:ascii="Nirmala UI" w:hAnsi="Nirmala UI" w:eastAsia="Nirmala UI" w:cs="Nirmala UI"/>
        </w:rPr>
        <w:t>ಅವು</w:t>
      </w:r>
      <w:r>
        <w:rPr>
          <w:rFonts w:ascii="Times New Roman" w:hAnsi="Times New Roman" w:eastAsia="Times New Roman" w:cs="Times New Roman"/>
        </w:rPr>
        <w:t xml:space="preserve"> </w:t>
      </w:r>
      <w:r>
        <w:rPr>
          <w:rFonts w:ascii="Nirmala UI" w:hAnsi="Nirmala UI" w:eastAsia="Nirmala UI" w:cs="Nirmala UI"/>
        </w:rPr>
        <w:t>ಬೈಬಲ್</w:t>
      </w:r>
      <w:r>
        <w:rPr>
          <w:rFonts w:ascii="Times New Roman" w:hAnsi="Times New Roman" w:eastAsia="Times New Roman" w:cs="Times New Roman"/>
        </w:rPr>
        <w:t xml:space="preserve"> </w:t>
      </w:r>
      <w:r>
        <w:rPr>
          <w:rFonts w:ascii="Nirmala UI" w:hAnsi="Nirmala UI" w:eastAsia="Nirmala UI" w:cs="Nirmala UI"/>
        </w:rPr>
        <w:t>ಪ್ರವಾದನೆಯ</w:t>
      </w:r>
      <w:r>
        <w:rPr>
          <w:rFonts w:ascii="Times New Roman" w:hAnsi="Times New Roman" w:eastAsia="Times New Roman" w:cs="Times New Roman"/>
        </w:rPr>
        <w:t xml:space="preserve"> </w:t>
      </w:r>
      <w:r>
        <w:rPr>
          <w:rFonts w:ascii="Nirmala UI" w:hAnsi="Nirmala UI" w:eastAsia="Nirmala UI" w:cs="Nirmala UI"/>
        </w:rPr>
        <w:t>ಆರನೆಯ</w:t>
      </w:r>
      <w:r>
        <w:rPr>
          <w:rFonts w:ascii="Times New Roman" w:hAnsi="Times New Roman" w:eastAsia="Times New Roman" w:cs="Times New Roman"/>
        </w:rPr>
        <w:t xml:space="preserve"> </w:t>
      </w:r>
      <w:r>
        <w:rPr>
          <w:rFonts w:ascii="Nirmala UI" w:hAnsi="Nirmala UI" w:eastAsia="Nirmala UI" w:cs="Nirmala UI"/>
        </w:rPr>
        <w:t>ರಾಜ್ಯವಾಗಿ</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ಆರಂಭವನ್ನು</w:t>
      </w:r>
      <w:r>
        <w:rPr>
          <w:rFonts w:ascii="Times New Roman" w:hAnsi="Times New Roman" w:eastAsia="Times New Roman" w:cs="Times New Roman"/>
        </w:rPr>
        <w:t xml:space="preserve"> </w:t>
      </w:r>
      <w:r>
        <w:rPr>
          <w:rFonts w:ascii="Nirmala UI" w:hAnsi="Nirmala UI" w:eastAsia="Nirmala UI" w:cs="Nirmala UI"/>
        </w:rPr>
        <w:t>ಗುರುತಿಸಿದವು</w:t>
      </w:r>
      <w:r>
        <w:rPr>
          <w:rFonts w:ascii="Times New Roman" w:hAnsi="Times New Roman" w:eastAsia="Times New Roman" w:cs="Times New Roman"/>
        </w:rPr>
        <w:t>. 1776</w:t>
      </w:r>
      <w:r>
        <w:rPr>
          <w:rFonts w:ascii="Nirmala UI" w:hAnsi="Nirmala UI" w:eastAsia="Nirmala UI" w:cs="Nirmala UI"/>
        </w:rPr>
        <w:t>ರ</w:t>
      </w:r>
      <w:r>
        <w:rPr>
          <w:rFonts w:ascii="Times New Roman" w:hAnsi="Times New Roman" w:eastAsia="Times New Roman" w:cs="Times New Roman"/>
        </w:rPr>
        <w:t xml:space="preserve"> </w:t>
      </w:r>
      <w:r>
        <w:rPr>
          <w:rFonts w:ascii="Nirmala UI" w:hAnsi="Nirmala UI" w:eastAsia="Nirmala UI" w:cs="Nirmala UI"/>
        </w:rPr>
        <w:t>ಸ್ವಾತಂತ್ರ್ಯ</w:t>
      </w:r>
      <w:r>
        <w:rPr>
          <w:rFonts w:ascii="Times New Roman" w:hAnsi="Times New Roman" w:eastAsia="Times New Roman" w:cs="Times New Roman"/>
        </w:rPr>
        <w:t xml:space="preserve"> </w:t>
      </w:r>
      <w:r>
        <w:rPr>
          <w:rFonts w:ascii="Nirmala UI" w:hAnsi="Nirmala UI" w:eastAsia="Nirmala UI" w:cs="Nirmala UI"/>
        </w:rPr>
        <w:t>ಘೋಷಣೆ</w:t>
      </w:r>
      <w:r>
        <w:rPr>
          <w:rFonts w:ascii="Times New Roman" w:hAnsi="Times New Roman" w:eastAsia="Times New Roman" w:cs="Times New Roman"/>
        </w:rPr>
        <w:t xml:space="preserve">, </w:t>
      </w:r>
      <w:r>
        <w:rPr>
          <w:rFonts w:ascii="Nirmala UI" w:hAnsi="Nirmala UI" w:eastAsia="Nirmala UI" w:cs="Nirmala UI"/>
        </w:rPr>
        <w:t>ಅದರ</w:t>
      </w:r>
      <w:r>
        <w:rPr>
          <w:rFonts w:ascii="Times New Roman" w:hAnsi="Times New Roman" w:eastAsia="Times New Roman" w:cs="Times New Roman"/>
        </w:rPr>
        <w:t xml:space="preserve"> </w:t>
      </w:r>
      <w:r>
        <w:rPr>
          <w:rFonts w:ascii="Nirmala UI" w:hAnsi="Nirmala UI" w:eastAsia="Nirmala UI" w:cs="Nirmala UI"/>
        </w:rPr>
        <w:t>ನಂತರ</w:t>
      </w:r>
      <w:r>
        <w:rPr>
          <w:rFonts w:ascii="Times New Roman" w:hAnsi="Times New Roman" w:eastAsia="Times New Roman" w:cs="Times New Roman"/>
        </w:rPr>
        <w:t xml:space="preserve"> 1789</w:t>
      </w:r>
      <w:r>
        <w:rPr>
          <w:rFonts w:ascii="Nirmala UI" w:hAnsi="Nirmala UI" w:eastAsia="Nirmala UI" w:cs="Nirmala UI"/>
        </w:rPr>
        <w:t>ರ</w:t>
      </w:r>
      <w:r>
        <w:rPr>
          <w:rFonts w:ascii="Times New Roman" w:hAnsi="Times New Roman" w:eastAsia="Times New Roman" w:cs="Times New Roman"/>
        </w:rPr>
        <w:t xml:space="preserve"> </w:t>
      </w:r>
      <w:r>
        <w:rPr>
          <w:rFonts w:ascii="Nirmala UI" w:hAnsi="Nirmala UI" w:eastAsia="Nirmala UI" w:cs="Nirmala UI"/>
        </w:rPr>
        <w:t>ಸಂವಿಧಾನ</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ನಂತರ</w:t>
      </w:r>
      <w:r>
        <w:rPr>
          <w:rFonts w:ascii="Times New Roman" w:hAnsi="Times New Roman" w:eastAsia="Times New Roman" w:cs="Times New Roman"/>
        </w:rPr>
        <w:t xml:space="preserve"> 1798</w:t>
      </w:r>
      <w:r>
        <w:rPr>
          <w:rFonts w:ascii="Nirmala UI" w:hAnsi="Nirmala UI" w:eastAsia="Nirmala UI" w:cs="Nirmala UI"/>
        </w:rPr>
        <w:t>ರ</w:t>
      </w:r>
      <w:r>
        <w:rPr>
          <w:rFonts w:ascii="Times New Roman" w:hAnsi="Times New Roman" w:eastAsia="Times New Roman" w:cs="Times New Roman"/>
        </w:rPr>
        <w:t xml:space="preserve"> Alien and Sedition Acts—</w:t>
      </w:r>
      <w:r>
        <w:rPr>
          <w:rFonts w:ascii="Nirmala UI" w:hAnsi="Nirmala UI" w:eastAsia="Nirmala UI" w:cs="Nirmala UI"/>
        </w:rPr>
        <w:t>ಇವು</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ಪ್ರವಾದನಾತ್ಮಕವಾಗಿ</w:t>
      </w:r>
      <w:r>
        <w:rPr>
          <w:rFonts w:ascii="Times New Roman" w:hAnsi="Times New Roman" w:eastAsia="Times New Roman" w:cs="Times New Roman"/>
        </w:rPr>
        <w:t xml:space="preserve"> </w:t>
      </w:r>
      <w:r>
        <w:rPr>
          <w:rFonts w:ascii="Nirmala UI" w:hAnsi="Nirmala UI" w:eastAsia="Nirmala UI" w:cs="Nirmala UI"/>
        </w:rPr>
        <w:t>ಮಾತಾಡಿದ</w:t>
      </w:r>
      <w:r>
        <w:rPr>
          <w:rFonts w:ascii="Times New Roman" w:hAnsi="Times New Roman" w:eastAsia="Times New Roman" w:cs="Times New Roman"/>
        </w:rPr>
        <w:t xml:space="preserve"> </w:t>
      </w:r>
      <w:r>
        <w:rPr>
          <w:rFonts w:ascii="Nirmala UI" w:hAnsi="Nirmala UI" w:eastAsia="Nirmala UI" w:cs="Nirmala UI"/>
        </w:rPr>
        <w:t>ಮೊದಲ</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ಸಂದರ್ಭಗಳನ್ನು</w:t>
      </w:r>
      <w:r>
        <w:rPr>
          <w:rFonts w:ascii="Times New Roman" w:hAnsi="Times New Roman" w:eastAsia="Times New Roman" w:cs="Times New Roman"/>
        </w:rPr>
        <w:t xml:space="preserve"> </w:t>
      </w:r>
      <w:r>
        <w:rPr>
          <w:rFonts w:ascii="Nirmala UI" w:hAnsi="Nirmala UI" w:eastAsia="Nirmala UI" w:cs="Nirmala UI"/>
        </w:rPr>
        <w:t>ಗುರುತಿಸುತ್ತವೆ</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ಪ್ರಕಟಣೆಗಳ</w:t>
      </w:r>
      <w:r>
        <w:rPr>
          <w:rFonts w:ascii="Times New Roman" w:hAnsi="Times New Roman" w:eastAsia="Times New Roman" w:cs="Times New Roman"/>
        </w:rPr>
        <w:t xml:space="preserve"> </w:t>
      </w:r>
      <w:r>
        <w:rPr>
          <w:rFonts w:ascii="Nirmala UI" w:hAnsi="Nirmala UI" w:eastAsia="Nirmala UI" w:cs="Nirmala UI"/>
        </w:rPr>
        <w:t>ಪ್ರತಿಯೊಂದೂ</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ಮಾತಾಡುವಿಕೆಯನ್ನು</w:t>
      </w:r>
      <w:r>
        <w:rPr>
          <w:rFonts w:ascii="Times New Roman" w:hAnsi="Times New Roman" w:eastAsia="Times New Roman" w:cs="Times New Roman"/>
        </w:rPr>
        <w:t xml:space="preserve"> </w:t>
      </w:r>
      <w:r>
        <w:rPr>
          <w:rFonts w:ascii="Nirmala UI" w:hAnsi="Nirmala UI" w:eastAsia="Nirmala UI" w:cs="Nirmala UI"/>
        </w:rPr>
        <w:t>ಪ್ರತಿನಿಧಿಸಿತು</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ಹಂತಗಳು</w:t>
      </w:r>
      <w:r>
        <w:rPr>
          <w:rFonts w:ascii="Times New Roman" w:hAnsi="Times New Roman" w:eastAsia="Times New Roman" w:cs="Times New Roman"/>
        </w:rPr>
        <w:t xml:space="preserve"> 1798</w:t>
      </w:r>
      <w:r>
        <w:rPr>
          <w:rFonts w:ascii="Nirmala UI" w:hAnsi="Nirmala UI" w:eastAsia="Nirmala UI" w:cs="Nirmala UI"/>
        </w:rPr>
        <w:t>ಕ್ಕೆ</w:t>
      </w:r>
      <w:r>
        <w:rPr>
          <w:rFonts w:ascii="Times New Roman" w:hAnsi="Times New Roman" w:eastAsia="Times New Roman" w:cs="Times New Roman"/>
        </w:rPr>
        <w:t xml:space="preserve"> </w:t>
      </w:r>
      <w:r>
        <w:rPr>
          <w:rFonts w:ascii="Nirmala UI" w:hAnsi="Nirmala UI" w:eastAsia="Nirmala UI" w:cs="Nirmala UI"/>
        </w:rPr>
        <w:t>ನಡೆಸಿದವು</w:t>
      </w:r>
      <w:r>
        <w:rPr>
          <w:rFonts w:ascii="Times New Roman" w:hAnsi="Times New Roman" w:eastAsia="Times New Roman" w:cs="Times New Roman"/>
        </w:rPr>
        <w:t xml:space="preserve">; </w:t>
      </w:r>
      <w:r>
        <w:rPr>
          <w:rFonts w:ascii="Nirmala UI" w:hAnsi="Nirmala UI" w:eastAsia="Nirmala UI" w:cs="Nirmala UI"/>
        </w:rPr>
        <w:t>ಅದೇ</w:t>
      </w:r>
      <w:r>
        <w:rPr>
          <w:rFonts w:ascii="Times New Roman" w:hAnsi="Times New Roman" w:eastAsia="Times New Roman" w:cs="Times New Roman"/>
        </w:rPr>
        <w:t xml:space="preserve"> </w:t>
      </w:r>
      <w:r>
        <w:rPr>
          <w:rFonts w:ascii="Nirmala UI" w:hAnsi="Nirmala UI" w:eastAsia="Nirmala UI" w:cs="Nirmala UI"/>
        </w:rPr>
        <w:t>ಬೈಬಲ್</w:t>
      </w:r>
      <w:r>
        <w:rPr>
          <w:rFonts w:ascii="Times New Roman" w:hAnsi="Times New Roman" w:eastAsia="Times New Roman" w:cs="Times New Roman"/>
        </w:rPr>
        <w:t xml:space="preserve"> </w:t>
      </w:r>
      <w:r>
        <w:rPr>
          <w:rFonts w:ascii="Nirmala UI" w:hAnsi="Nirmala UI" w:eastAsia="Nirmala UI" w:cs="Nirmala UI"/>
        </w:rPr>
        <w:t>ಪ್ರವಾದನೆಯ</w:t>
      </w:r>
      <w:r>
        <w:rPr>
          <w:rFonts w:ascii="Times New Roman" w:hAnsi="Times New Roman" w:eastAsia="Times New Roman" w:cs="Times New Roman"/>
        </w:rPr>
        <w:t xml:space="preserve"> </w:t>
      </w:r>
      <w:r>
        <w:rPr>
          <w:rFonts w:ascii="Nirmala UI" w:hAnsi="Nirmala UI" w:eastAsia="Nirmala UI" w:cs="Nirmala UI"/>
        </w:rPr>
        <w:t>ಆರನೆಯ</w:t>
      </w:r>
      <w:r>
        <w:rPr>
          <w:rFonts w:ascii="Times New Roman" w:hAnsi="Times New Roman" w:eastAsia="Times New Roman" w:cs="Times New Roman"/>
        </w:rPr>
        <w:t xml:space="preserve"> </w:t>
      </w:r>
      <w:r>
        <w:rPr>
          <w:rFonts w:ascii="Nirmala UI" w:hAnsi="Nirmala UI" w:eastAsia="Nirmala UI" w:cs="Nirmala UI"/>
        </w:rPr>
        <w:t>ರಾಜ್ಯವಾಗಿ</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ಆಳಲು</w:t>
      </w:r>
      <w:r>
        <w:rPr>
          <w:rFonts w:ascii="Times New Roman" w:hAnsi="Times New Roman" w:eastAsia="Times New Roman" w:cs="Times New Roman"/>
        </w:rPr>
        <w:t xml:space="preserve"> </w:t>
      </w:r>
      <w:r>
        <w:rPr>
          <w:rFonts w:ascii="Nirmala UI" w:hAnsi="Nirmala UI" w:eastAsia="Nirmala UI" w:cs="Nirmala UI"/>
        </w:rPr>
        <w:t>ಆರಂಭವಾದ</w:t>
      </w:r>
      <w:r>
        <w:rPr>
          <w:rFonts w:ascii="Times New Roman" w:hAnsi="Times New Roman" w:eastAsia="Times New Roman" w:cs="Times New Roman"/>
        </w:rPr>
        <w:t xml:space="preserve"> </w:t>
      </w:r>
      <w:r>
        <w:rPr>
          <w:rFonts w:ascii="Nirmala UI" w:hAnsi="Nirmala UI" w:eastAsia="Nirmala UI" w:cs="Nirmala UI"/>
        </w:rPr>
        <w:t>ಸಮಯ</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ಆರಂಭದಲ್ಲಿದ್ದ</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ವೇಮಾರ್ಕ್</w:t>
      </w:r>
      <w:r>
        <w:rPr>
          <w:rFonts w:ascii="Times New Roman" w:hAnsi="Times New Roman" w:eastAsia="Times New Roman" w:cs="Times New Roman"/>
        </w:rPr>
        <w:t>‌</w:t>
      </w:r>
      <w:r>
        <w:rPr>
          <w:rFonts w:ascii="Nirmala UI" w:hAnsi="Nirmala UI" w:eastAsia="Nirmala UI" w:cs="Nirmala UI"/>
        </w:rPr>
        <w:t>ಗಳು</w:t>
      </w:r>
      <w:r>
        <w:rPr>
          <w:rFonts w:ascii="Times New Roman" w:hAnsi="Times New Roman" w:eastAsia="Times New Roman" w:cs="Times New Roman"/>
        </w:rPr>
        <w:t xml:space="preserve">, </w:t>
      </w:r>
      <w:r>
        <w:rPr>
          <w:rFonts w:ascii="Nirmala UI" w:hAnsi="Nirmala UI" w:eastAsia="Nirmala UI" w:cs="Nirmala UI"/>
        </w:rPr>
        <w:t>ಬೈಬಲ್</w:t>
      </w:r>
      <w:r>
        <w:rPr>
          <w:rFonts w:ascii="Times New Roman" w:hAnsi="Times New Roman" w:eastAsia="Times New Roman" w:cs="Times New Roman"/>
        </w:rPr>
        <w:t xml:space="preserve"> </w:t>
      </w:r>
      <w:r>
        <w:rPr>
          <w:rFonts w:ascii="Nirmala UI" w:hAnsi="Nirmala UI" w:eastAsia="Nirmala UI" w:cs="Nirmala UI"/>
        </w:rPr>
        <w:t>ಪ್ರವಾದನೆಯ</w:t>
      </w:r>
      <w:r>
        <w:rPr>
          <w:rFonts w:ascii="Times New Roman" w:hAnsi="Times New Roman" w:eastAsia="Times New Roman" w:cs="Times New Roman"/>
        </w:rPr>
        <w:t xml:space="preserve"> </w:t>
      </w:r>
      <w:r>
        <w:rPr>
          <w:rFonts w:ascii="Nirmala UI" w:hAnsi="Nirmala UI" w:eastAsia="Nirmala UI" w:cs="Nirmala UI"/>
        </w:rPr>
        <w:t>ಆರನೆಯ</w:t>
      </w:r>
      <w:r>
        <w:rPr>
          <w:rFonts w:ascii="Times New Roman" w:hAnsi="Times New Roman" w:eastAsia="Times New Roman" w:cs="Times New Roman"/>
        </w:rPr>
        <w:t xml:space="preserve"> </w:t>
      </w:r>
      <w:r>
        <w:rPr>
          <w:rFonts w:ascii="Nirmala UI" w:hAnsi="Nirmala UI" w:eastAsia="Nirmala UI" w:cs="Nirmala UI"/>
        </w:rPr>
        <w:t>ರಾಜ್ಯವಾಗಿ</w:t>
      </w:r>
      <w:r>
        <w:rPr>
          <w:rFonts w:ascii="Times New Roman" w:hAnsi="Times New Roman" w:eastAsia="Times New Roman" w:cs="Times New Roman"/>
        </w:rPr>
        <w:t xml:space="preserve"> </w:t>
      </w:r>
      <w:r>
        <w:rPr>
          <w:rFonts w:ascii="Nirmala UI" w:hAnsi="Nirmala UI" w:eastAsia="Nirmala UI" w:cs="Nirmala UI"/>
        </w:rPr>
        <w:t>ಸಂಯುಕ್ತ</w:t>
      </w:r>
      <w:r>
        <w:rPr>
          <w:rFonts w:ascii="Times New Roman" w:hAnsi="Times New Roman" w:eastAsia="Times New Roman" w:cs="Times New Roman"/>
        </w:rPr>
        <w:t xml:space="preserve"> </w:t>
      </w:r>
      <w:r>
        <w:rPr>
          <w:rFonts w:ascii="Nirmala UI" w:hAnsi="Nirmala UI" w:eastAsia="Nirmala UI" w:cs="Nirmala UI"/>
        </w:rPr>
        <w:t>ಸಂಸ್ಥಾನಗಳ</w:t>
      </w:r>
      <w:r>
        <w:rPr>
          <w:rFonts w:ascii="Times New Roman" w:hAnsi="Times New Roman" w:eastAsia="Times New Roman" w:cs="Times New Roman"/>
        </w:rPr>
        <w:t xml:space="preserve"> </w:t>
      </w:r>
      <w:r>
        <w:rPr>
          <w:rFonts w:ascii="Nirmala UI" w:hAnsi="Nirmala UI" w:eastAsia="Nirmala UI" w:cs="Nirmala UI"/>
        </w:rPr>
        <w:t>ಆಳ್ವಿಕೆಯ</w:t>
      </w:r>
      <w:r>
        <w:rPr>
          <w:rFonts w:ascii="Times New Roman" w:hAnsi="Times New Roman" w:eastAsia="Times New Roman" w:cs="Times New Roman"/>
        </w:rPr>
        <w:t xml:space="preserve"> </w:t>
      </w:r>
      <w:r>
        <w:rPr>
          <w:rFonts w:ascii="Nirmala UI" w:hAnsi="Nirmala UI" w:eastAsia="Nirmala UI" w:cs="Nirmala UI"/>
        </w:rPr>
        <w:t>ಅಂತ್ಯಕ್ಕೆ</w:t>
      </w:r>
      <w:r>
        <w:rPr>
          <w:rFonts w:ascii="Times New Roman" w:hAnsi="Times New Roman" w:eastAsia="Times New Roman" w:cs="Times New Roman"/>
        </w:rPr>
        <w:t xml:space="preserve"> </w:t>
      </w:r>
      <w:r>
        <w:rPr>
          <w:rFonts w:ascii="Nirmala UI" w:hAnsi="Nirmala UI" w:eastAsia="Nirmala UI" w:cs="Nirmala UI"/>
        </w:rPr>
        <w:t>ನಡೆಸುವ</w:t>
      </w:r>
      <w:r>
        <w:rPr>
          <w:rFonts w:ascii="Times New Roman" w:hAnsi="Times New Roman" w:eastAsia="Times New Roman" w:cs="Times New Roman"/>
        </w:rPr>
        <w:t xml:space="preserve"> </w:t>
      </w:r>
      <w:r>
        <w:rPr>
          <w:rFonts w:ascii="Nirmala UI" w:hAnsi="Nirmala UI" w:eastAsia="Nirmala UI" w:cs="Nirmala UI"/>
        </w:rPr>
        <w:t>ಮೂರು</w:t>
      </w:r>
      <w:r>
        <w:rPr>
          <w:rFonts w:ascii="Times New Roman" w:hAnsi="Times New Roman" w:eastAsia="Times New Roman" w:cs="Times New Roman"/>
        </w:rPr>
        <w:t xml:space="preserve"> </w:t>
      </w:r>
      <w:r>
        <w:rPr>
          <w:rFonts w:ascii="Nirmala UI" w:hAnsi="Nirmala UI" w:eastAsia="Nirmala UI" w:cs="Nirmala UI"/>
        </w:rPr>
        <w:t>ವೇಮಾರ್ಕ್</w:t>
      </w:r>
      <w:r>
        <w:rPr>
          <w:rFonts w:ascii="Times New Roman" w:hAnsi="Times New Roman" w:eastAsia="Times New Roman" w:cs="Times New Roman"/>
        </w:rPr>
        <w:t>‌</w:t>
      </w:r>
      <w:r>
        <w:rPr>
          <w:rFonts w:ascii="Nirmala UI" w:hAnsi="Nirmala UI" w:eastAsia="Nirmala UI" w:cs="Nirmala UI"/>
        </w:rPr>
        <w:t>ಗಳನ್ನೂ</w:t>
      </w:r>
      <w:r>
        <w:rPr>
          <w:rFonts w:ascii="Times New Roman" w:hAnsi="Times New Roman" w:eastAsia="Times New Roman" w:cs="Times New Roman"/>
        </w:rPr>
        <w:t xml:space="preserve"> </w:t>
      </w:r>
      <w:r>
        <w:rPr>
          <w:rFonts w:ascii="Nirmala UI" w:hAnsi="Nirmala UI" w:eastAsia="Nirmala UI" w:cs="Nirmala UI"/>
        </w:rPr>
        <w:t>ಪ್ರತಿನಿಧಿಸುತ್ತವೆ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Patriot Act este prima dintre cele trei dăți în care Statele Unite vorbesc pe măsură ce ajung la încheierea lor ca a șasea împărăție. A treia rostire, care identifică sfârșitul celei de-a șasea împărății, este legea duminicală. În mijlocul acelei istorii au fost inițiate Procesele Pelosi din 6 ianuarie, care au început în 2022. Procesele au constituit o respingere directă a drepturilor consacrate în Constituție, deoarece au avut un caracter politic, iar lawfare-ul nu a fost doar o fabricare a faptelor, ci a fost, de fapt, un atac direct asupra dreptului „procedural” și „substanțial”, astfel cum sunt identificate în cadrul Constituției.</w:t>
      </w:r>
    </w:p>
    <w:p>
      <w:pPr>
        <w:pStyle w:val="ArticleBody"/>
        <w:jc w:val="left"/>
      </w:pPr>
      <w:r>
        <w:rPr>
          <w:rFonts w:ascii="Times New Roman" w:hAnsi="Times New Roman" w:eastAsia="Times New Roman" w:cs="Times New Roman"/>
        </w:rPr>
        <w:t>Patriot Act din 2001 a constituit un atac direct asupra „clauzei procesului echitabil”, care apare atât în al Cincilea Amendament, cât și în al Paisprezecelea Amendament la Constituția Statelor Unite. Acestea prevăd că nimeni nu poate fi lipsit de viață, libertate sau proprietate fără respectarea procedurii legale. Aceasta s-a petrecut în 2001, iar în 2022 atacul împotriva Constituției a fost îndreptat atât asupra „procesului echitabil procedural”, cât și asupra „procesului echitabil substanțial”. Cuvântul „repudia” înseamnă a nega, iar sora White arată că, la legea duminicală din Statele Unite, fiecare principiu al Constituției va fi repudiat.</w:t>
      </w:r>
    </w:p>
    <w:p>
      <w:pPr>
        <w:pStyle w:val="ArticleScripture"/>
        <w:jc w:val="left"/>
      </w:pPr>
      <w:r>
        <w:rPr>
          <w:rFonts w:ascii="Times New Roman" w:hAnsi="Times New Roman" w:eastAsia="Times New Roman" w:cs="Times New Roman"/>
        </w:rPr>
        <w:t>„Prin decretul care impune instituirea papalității, cu încălcarea legii lui Dumnezeu, națiunea noastră se va despărți pe deplin de dreptate. Când protestantismul își va întinde mâna peste prăpastie pentru a apuca mâna puterii romane, când va trece peste abis pentru a-și da mâna cu spiritismul, când, sub influența acestei întreite uniri, țara noastră va lepăda orice principiu al Constituției sale ca guvernare protestantă și republicană și va lua măsuri pentru răspândirea falsităților și amăgirilor papale, atunci vom putea ști că a venit timpul lucrării minunate a lui Satana și că sfârșitul este aproape.״</w:t>
      </w:r>
    </w:p>
    <w:p>
      <w:pPr>
        <w:pStyle w:val="ArticleScripture"/>
        <w:jc w:val="left"/>
      </w:pPr>
      <w:r>
        <w:rPr>
          <w:rFonts w:ascii="Times New Roman" w:hAnsi="Times New Roman" w:eastAsia="Times New Roman" w:cs="Times New Roman"/>
        </w:rPr>
        <w:t>„Așa cum apropierea armatelor romane a fost pentru ucenici un semn al nimicirii iminente a Ierusalimului, tot astfel această apostazie poate fi pentru noi un semn că limita îndelungii-răbdări a lui Dumnezeu a fost atinsă, că măsura nelegiuirii națiunii noastre este plină și că îngerul milei este pe punctul de a-și lua zborul, ca să nu se mai întoarcă niciodată. Atunci poporul lui Dumnezeu va fi cufundat în acele scene de suferință și strâmtorare pe care profeții le-au descris ca fiind vremea necazului lui Iacov. Strigătele celor credincioși, persecutați, se înalță la cer. Și, după cum sângele lui Abel striga din pământ, tot astfel se înalță glasuri către Dumnezeu și din mormintele martirilor, din mormintele mării, din peșterile munților, din criptele mănăstirești: «Până când, Stăpâne, Tu, care ești sfânt și adevărat, nu judeci și nu răzbuni sângele nostru asupra locuitorilor pământului?»”</w:t>
      </w:r>
    </w:p>
    <w:p>
      <w:pPr>
        <w:pStyle w:val="ArticleScripture"/>
        <w:jc w:val="left"/>
      </w:pPr>
      <w:r>
        <w:rPr>
          <w:rFonts w:ascii="Times New Roman" w:hAnsi="Times New Roman" w:eastAsia="Times New Roman" w:cs="Times New Roman"/>
        </w:rPr>
        <w:t>“Domnul Își împlinește lucrarea. Tot cerul este în mișcare. Judecătorul întregului pământ Se va ridica în curând și Își va apăra autoritatea batjocorită. Semnul izbăvirii va fi pus asupra oamenilor care păzesc poruncile lui Dumnezeu, care cinstesc Legea Sa și care refuză semnul fiarei sau al chipului ei.</w:t>
      </w:r>
    </w:p>
    <w:p>
      <w:pPr>
        <w:pStyle w:val="ArticleScripture"/>
        <w:jc w:val="left"/>
      </w:pPr>
      <w:r>
        <w:rPr>
          <w:rFonts w:ascii="Times New Roman" w:hAnsi="Times New Roman" w:eastAsia="Times New Roman" w:cs="Times New Roman"/>
        </w:rPr>
        <w:t>“Biko kpụpụtawo ihe ga-eme n’ụbọchị ikpeazụ, ka e wee kwadebe ndị Ya ka ha guzo megide oke ifufe nke mmegide na iwe. Ndị a dọrọ aka ná ntị banyere ihe omume ndị dị n’ihu ha ekwesịghị ịnọdụ n’udo na-atụ anya oke ifufe na-abịa, na-akasi onwe ha obi na Onyenwe anyị ga-echekwa ndị Ya kwesịrị ntụkwasị obi n’ụbọchị nsogbu. Anyị kwesịrị ịdị ka ndị mmadụ na-eche Onyenwe ha, ọ bụghị n’ịtụ anya n’efu, kama n’ọrụ siri ike, na okwukwe na-enweghị ịma jijiji. Ugbu a abụghị oge e kwesịrị ikwe ka uche anyị mikpuo n’ihe ndị dị ntakịrị mkpa. Mgbe mmadụ na-ehi ụra, Setan na-arụsi ọrụ ike na-ahazi ihe ka ndị nke Onyenwe anyị ghara inweta ebere ma ọ bụ ikpe ziri ezi. Mmegharị Sunday na-eme ụzọ ya ugbu a n’ime ọchịchịrị. Ndị ndú na-ezobe ezi okwu dị n’isi okwu ahụ, ọtụtụ n’ime ndị sonyere na mmegharị ahụ onwe ha anaghị ahụ ebe iyi dị n’okpuru na-akpọga. Nkwupụta ya dị nro ma na-apụta dịka nke Ndị Kraịst, ma mgbe ọ ga-ekwu okwu, ọ ga-ekpughe mmụọ dragọn ahụ. Ọ bụ ọrụ anyị ime ihe niile dị n’ike anyị iji gbochie ihe ize ndụ a na-eyi egwu. Anyị kwesịrị ịgbalị iwepụ ajọ mbunobi site n’itinye onwe anyị n’ọnọdụ kwesịrị ekwesị n’ihu ndị mmadụ. Anyị kwesịrị iweta n’ihu ha ezi ajụjụ dị n’isi okwu ahụ, si otu a tinye mgbochi kacha arụ ọrụ megide usoro ndị a iji gbochie nnwere onwe nke akọ na uche. Anyị kwesịrị inyocha Akwụkwọ Nsọ ma nwee ike inye ihe kpatara okwukwe anyị. Onye amụma kwuru, sị: ‘Ndị ajọ omume ga-eme ajọ omume: ma ọ dịghị onye n’ime ndị ajọ omume ga-aghọta; ma ndị maara ihe ga-aghọta.’” Testimonies, volume 5, 451, 452.</w:t>
      </w:r>
    </w:p>
    <w:p>
      <w:pPr>
        <w:pStyle w:val="ArticleBody"/>
        <w:jc w:val="left"/>
      </w:pPr>
      <w:r>
        <w:rPr>
          <w:rFonts w:ascii="Times New Roman" w:hAnsi="Times New Roman" w:eastAsia="Times New Roman" w:cs="Times New Roman"/>
        </w:rPr>
        <w:t>Sora White aliniază legea duminicală cu mai multe repere ale timpului sfârșitului, iar prin aceasta cuvintele ei descoperă „ce urmează să aibă loc în zilele din urmă, pentru ca poporul Său să fie pregătit să stea împotriva furtunii opoziției și mâniei”. Prin urmare, reperele pe care ea le pune în legătură în acest pasaj trebuie cercetate cu grijă. Susțin că punctul de referință este linia profetică ce se concentrează asupra Constituției Statelor Unite, împreună cu „vorbirea” națiunii ca simbol corelat.</w:t>
      </w:r>
    </w:p>
    <w:p>
      <w:pPr>
        <w:pStyle w:val="ArticleBody"/>
        <w:jc w:val="left"/>
      </w:pPr>
      <w:r>
        <w:rPr>
          <w:rFonts w:ascii="Times New Roman" w:hAnsi="Times New Roman" w:eastAsia="Times New Roman" w:cs="Times New Roman"/>
        </w:rPr>
        <w:t>Prin aceasta vreau să spun că Blair Bill din 1888, Patriot Act din 2001 și urmăririle politice desfășurate de democrați și de republicanii globaliști începând cu 2022 au constituit fiecare o negare directă a două elemente esențiale ale Constituției. Anul 1888 reprezintă impunerea închinării de duminică, iar apoi, în 2001, schimbarea de la dreptul englez la dreptul roman. În 2022, dreptul „substanțial” și cel „procedural” au fost atacate.</w:t>
      </w:r>
    </w:p>
    <w:p>
      <w:pPr>
        <w:pStyle w:val="ArticleBody"/>
        <w:jc w:val="left"/>
      </w:pPr>
      <w:r>
        <w:rPr>
          <w:rFonts w:ascii="Times New Roman" w:hAnsi="Times New Roman" w:eastAsia="Times New Roman" w:cs="Times New Roman"/>
        </w:rPr>
        <w:t>Legea materială definește drepturile și obligațiile persoanelor și organizațiilor, în timp ce legea procedurală stabilește procesul de soluționare a litigiilor și de aplicare a drepturilor și obligațiilor persoanelor și organizațiilor. Legea definește comportamentul legal sau ilegal și stabilește pedepsele aferente. Legea materială acoperă numeroase domenii juridice, inclusiv dreptul penal, civil și contractual.</w:t>
      </w:r>
    </w:p>
    <w:p>
      <w:pPr>
        <w:pStyle w:val="ArticleBody"/>
        <w:jc w:val="left"/>
      </w:pPr>
      <w:r>
        <w:rPr>
          <w:rFonts w:ascii="Times New Roman" w:hAnsi="Times New Roman" w:eastAsia="Times New Roman" w:cs="Times New Roman"/>
        </w:rPr>
        <w:t>Legea penală este un excelent exemplu de drept material. Legea penală definește ce acțiuni sunt considerate infracțiuni și pedepsele pentru aceste infracțiuni. Dreptul civil, însă, reglementează litigiile dintre persoane și organizații, precum încălcarea contractului, vătămarea corporală sau litigiile privind proprietatea.</w:t>
      </w:r>
    </w:p>
    <w:p>
      <w:pPr>
        <w:pStyle w:val="ArticleBody"/>
        <w:jc w:val="left"/>
      </w:pPr>
      <w:r>
        <w:rPr>
          <w:rFonts w:ascii="Times New Roman" w:hAnsi="Times New Roman" w:eastAsia="Times New Roman" w:cs="Times New Roman"/>
        </w:rPr>
        <w:t>Legea substanțială este de obicei consacrată în statute, reglementări și jurisprudență. Statutele sunt legi adoptate de organe legislative, precum parlamentele naționale sau legislativele statale, iar reglementările sunt norme și proceduri elaborate de agenții administrative. Jurisprudența este dreptul pe care judecătorii îl creează prin interpretarea statutelor, a reglementărilor și a Constituției.</w:t>
      </w:r>
    </w:p>
    <w:p>
      <w:pPr>
        <w:pStyle w:val="ArticleBody"/>
        <w:jc w:val="left"/>
      </w:pPr>
      <w:r>
        <w:rPr>
          <w:rFonts w:ascii="Times New Roman" w:hAnsi="Times New Roman" w:eastAsia="Times New Roman" w:cs="Times New Roman"/>
        </w:rPr>
        <w:t>Legea procedurală se referă la normele care guvernează procesul juridic. Ea stabilește modul în care cauzele parcurg sistemul de justiție, de la depunerea inițială a unei plângeri până la soluționarea finală. Legea procedurală acoperă diverse domenii juridice, inclusiv procedurile civile, penale și administrative. Scopul legii procedurale este de a asigura că procesul juridic este echitabil și eficient. Ea oferă un cadru pentru soluționarea litigiilor și garantează că toți cei implicați în procesul juridic, inclusiv judecătorii, avocații și părțile litigante, cunosc ceea ce se așteaptă de la ei.</w:t>
      </w:r>
    </w:p>
    <w:p>
      <w:pPr>
        <w:pStyle w:val="ArticleBody"/>
        <w:jc w:val="left"/>
      </w:pPr>
      <w:r>
        <w:rPr>
          <w:rFonts w:ascii="Times New Roman" w:hAnsi="Times New Roman" w:eastAsia="Times New Roman" w:cs="Times New Roman"/>
        </w:rPr>
        <w:t>Legea materială și legea procedurală sunt menite să funcționeze împreună pentru a asigura înfăptuirea justiției. Legea materială definește drepturile și obligațiile persoanelor și ale organizațiilor, în timp ce legea procedurală stabilește procesul de soluționare a litigiilor și de aplicare a acestor drepturi și obligații. Cu alte cuvinte, legea materială definește comportamentul legal sau ilegal și consecințele comportamentului ilegal, în timp ce legea procedurală arată modul în care sunt soluționate aceste chestiuni juridice.</w:t>
      </w:r>
    </w:p>
    <w:p>
      <w:pPr>
        <w:pStyle w:val="ArticleBody"/>
        <w:jc w:val="left"/>
      </w:pPr>
      <w:r>
        <w:rPr>
          <w:rFonts w:ascii="Times New Roman" w:hAnsi="Times New Roman" w:eastAsia="Times New Roman" w:cs="Times New Roman"/>
        </w:rPr>
        <w:t>În 2001, Legea Patriot a înlăturat dreptul la habeas corpus. „Habeas corpus” este un termen latin care se traduce prin „să ai trupul”. El se referă la un principiu juridic ce protejează persoanele împotriva detenției ilegale, cerând unei instanțe să examineze legalitatea încarcerării unei persoane. Habeas corpus este un drept fundamental în multe sisteme juridice, mai ales în cele influențate de dreptul cutumiar englez. El garantează că o persoană nu poate fi ținută în custodie fără o cauză justă și îi permite să conteste legalitatea detenției sale înaintea unui judecător.</w:t>
      </w:r>
    </w:p>
    <w:p>
      <w:pPr>
        <w:pStyle w:val="ArticleBody"/>
        <w:jc w:val="left"/>
      </w:pPr>
      <w:r>
        <w:rPr>
          <w:rFonts w:ascii="Times New Roman" w:hAnsi="Times New Roman" w:eastAsia="Times New Roman" w:cs="Times New Roman"/>
        </w:rPr>
        <w:t>O clauză privind „respectarea procedurii legale” apare atât în cel de-al Cincilea Amendament, cât și în cel de-al Paisprezecelea Amendament la Constituția Statelor Unite. Acestea prevăd că nimeni nu poate fi lipsit de viață, libertate sau proprietate fără respectarea procedurii legale. Instanțele au dezvoltat două ramuri ale doctrinei privind respectarea procedurii legale: procedura legală procedurală și procedura legală substanțială. În 2001, prin Patriot Act, habeas corpus a fost eliminat ca drept, iar dreptul englez a fost înlocuit cu dreptul roman. Dreptul englez stabilește că o persoană este considerată nevinovată până la dovedirea vinovăției, iar dreptul roman afirmă că o persoană este considerată vinovată până la dovedirea nevinovăției. În Procesele Pelosi din 2022, atât procedura legală procedurală, cât și procedura legală substanțială au fost călcate în picioare. Atât dreptul substanțial, cât și dreptul procedural au fost aplicate în Procesele Pelosi exact în sensul opus scopului lor constituțional intenționat.</w:t>
      </w:r>
    </w:p>
    <w:p>
      <w:pPr>
        <w:pStyle w:val="ArticleBody"/>
        <w:jc w:val="left"/>
      </w:pPr>
      <w:r>
        <w:rPr>
          <w:rFonts w:ascii="Times New Roman" w:hAnsi="Times New Roman" w:eastAsia="Times New Roman" w:cs="Times New Roman"/>
        </w:rPr>
        <w:t>Distincția dintre due process substanțial și due process procedural constă în diferitele aspecte ale legii și ale drepturilor pe care fiecare dintre aceste concepte le protejează în cadrul Constituției Statelor Unite, în special în temeiul clauzelor de due process din Amendamentele al Cincilea și al Paisprezecelea.</w:t>
      </w:r>
    </w:p>
    <w:p>
      <w:pPr>
        <w:pStyle w:val="ArticleBody"/>
        <w:jc w:val="left"/>
      </w:pPr>
      <w:r>
        <w:rPr>
          <w:rFonts w:ascii="Times New Roman" w:hAnsi="Times New Roman" w:eastAsia="Times New Roman" w:cs="Times New Roman"/>
        </w:rPr>
        <w:t>Procesul echitabil substanțial privește drepturile și libertățile fundamentale asupra cărora guvernul nu poate aduce atingere, indiferent de procedura utilizată. El protejează anumite drepturi împotriva ingerinței guvernamentale chiar și atunci când sunt respectate procedurile corespunzătoare. Procesul echitabil substanțial implică drepturi considerate fundamentale, precum dreptul la viață privată, dreptul de a se căsători și dreptul de a-și crește copiii. Aceste drepturi sunt protejate împotriva imixtiunii guvernamentale, cu excepția cazului în care există un interes imperativ al statului. El funcționează ca un mecanism de control al puterii guvernamentale, asigurând că legile și reglementările nu încalcă libertățile fundamentale.</w:t>
      </w:r>
    </w:p>
    <w:p>
      <w:pPr>
        <w:pStyle w:val="ArticleBody"/>
        <w:jc w:val="left"/>
      </w:pPr>
      <w:r>
        <w:rPr>
          <w:rFonts w:ascii="Times New Roman" w:hAnsi="Times New Roman" w:eastAsia="Times New Roman" w:cs="Times New Roman"/>
        </w:rPr>
        <w:t>Due process procedural privește procedurile pe care guvernul trebuie să le urmeze înainte de a priva o persoană de viață, libertate sau proprietate. Acesta asigură că persoanele beneficiază de un tratament echitabil și imparțial prin intermediul unor procese juridice corespunzătoare. Due process procedural impune guvernului să urmeze anumiți pași sau anumite proceduri, precum transmiterea unei înștiințări, organizarea unei audieri echitabile și acordarea posibilității de a fi ascultat, înainte de a priva pe cineva de drepturile sale. El pune accentul pe modalitățile prin care legile sunt aplicate, asigurând că guvernul acționează într-un mod drept și echitabil.</w:t>
      </w:r>
    </w:p>
    <w:p>
      <w:pPr>
        <w:pStyle w:val="ArticleBody"/>
        <w:jc w:val="left"/>
      </w:pPr>
      <w:r>
        <w:rPr>
          <w:rFonts w:ascii="Times New Roman" w:hAnsi="Times New Roman" w:eastAsia="Times New Roman" w:cs="Times New Roman"/>
        </w:rPr>
        <w:t>Războiul juridic care s-a manifestat de când au început Procesele Pelosi reprezintă o negare atât a garanțiilor procesuale, cât și a celor materiale ale unui proces echitabil. Drepturile fundamentale ale cetățenilor americani au fost negate în mod deschis și cu succes. Operațiunile sub steag fals și corupția fățișă a agențiilor federale ale Statelor Unite au fost expuse în mod repetat încă dinainte de începerea Proceselor Pelosi, însă procedurile juridice folosite de globaliștii din ambele partide de când au început Procesele Pelosi reprezintă o ilustrare limpede a distrugerii garanțiilor procesuale ale unui proces echitabil.</w:t>
      </w:r>
    </w:p>
    <w:p>
      <w:pPr>
        <w:pStyle w:val="ArticleBody"/>
        <w:jc w:val="left"/>
      </w:pPr>
      <w:r>
        <w:rPr>
          <w:rFonts w:ascii="Times New Roman" w:hAnsi="Times New Roman" w:eastAsia="Times New Roman" w:cs="Times New Roman"/>
        </w:rPr>
        <w:t>Anterior în articol am citit: „Orice mișcare în favoarea legislației religioase este, în realitate, un act de concesie făcut papalității, care de atâtea veacuri a purtat neabătut război împotriva libertății de conștiință. Păzirea duminicii își datorează existența, ca așa-zisă instituție creștină, «tainei fărădelegii»; iar impunerea ei va constitui o recunoaștere de fapt a principiilor care sunt chiar piatra de temelie a romanismului. Când națiunea noastră va tăgădui astfel principiile guvernării sale, până acolo încât să adopte o lege duminicală, protestantismul, prin acest act, va da mâna cu papalitatea; aceasta nu va fi nimic altceva decât a da viață tiraniei care de multă vreme își pândește cu nerăbdare prilejul de a se avânta din nou într-un despotism activ.”</w:t>
      </w:r>
    </w:p>
    <w:p>
      <w:pPr>
        <w:pStyle w:val="ArticleBody"/>
        <w:jc w:val="left"/>
      </w:pPr>
      <w:r>
        <w:rPr>
          <w:rFonts w:ascii="Times New Roman" w:hAnsi="Times New Roman" w:eastAsia="Times New Roman" w:cs="Times New Roman"/>
        </w:rPr>
        <w:t>În linia istoriei care poate fi reprezentată prin Constituția Statelor Unite există trei repere specifice, reprezentând un anumit element al Constituției atât la începutul, cât și la sfârșitul Statelor Unite. Fiecare dintre aceste trei repere sunt acțiuni politice și, prin urmare, simbolizează vorbirea Statelor Unite. Al treilea dintre aceste trei repere de la început, care a marcat anul 1798, a fost Legile privind străinii și sedițiunea, iar al treilea dintre aceste repere de la sfârșit este momentul când Statele Unite impun o lege duminicală și vorbesc ca un balaur, în împlinirea capitolului treisprezece, versetul unsprezece, din Apocalipsa.</w:t>
      </w:r>
    </w:p>
    <w:p>
      <w:pPr>
        <w:pStyle w:val="ArticleBody"/>
        <w:jc w:val="left"/>
      </w:pPr>
      <w:r>
        <w:rPr>
          <w:rFonts w:ascii="Times New Roman" w:hAnsi="Times New Roman" w:eastAsia="Times New Roman" w:cs="Times New Roman"/>
        </w:rPr>
        <w:t>Istoria profetică a Statelor Unite începe atunci când, așa cum este reprezentată prin pământ, și-a deschis gura și a înghițit potopul persecuției balaurului.</w:t>
      </w:r>
    </w:p>
    <w:p>
      <w:pPr>
        <w:pStyle w:val="ArticleScripture"/>
        <w:jc w:val="left"/>
      </w:pPr>
      <w:r>
        <w:rPr>
          <w:rFonts w:ascii="Times New Roman" w:hAnsi="Times New Roman" w:eastAsia="Times New Roman" w:cs="Times New Roman"/>
        </w:rPr>
        <w:t>Și șarpele a aruncat din gura lui apă ca un râu după femeie, ca s-o facă să fie luată de râu. Și pământul a ajutat femeia, și pământul și-a deschis gura și a înghițit râul pe care balaurul îl aruncase din gura lui. Apocalipsa 12:15, 16.</w:t>
      </w:r>
    </w:p>
    <w:p>
      <w:pPr>
        <w:pStyle w:val="ArticleBody"/>
        <w:jc w:val="left"/>
      </w:pPr>
      <w:r>
        <w:rPr>
          <w:rFonts w:ascii="Times New Roman" w:hAnsi="Times New Roman" w:eastAsia="Times New Roman" w:cs="Times New Roman"/>
        </w:rPr>
        <w:t>În 1776, fiara care trebuia să se ridice din pământ și să devină în cele din urmă a șasea împărăție a profeției biblice în 1798 a înghițit potopul persecuției împotriva poporului lui Dumnezeu prin întemeierea unei națiuni cu o Constituție care protesta împotriva tiranilor regalității europene și a tiranilor bisericii papale.</w:t>
      </w:r>
    </w:p>
    <w:p>
      <w:pPr>
        <w:pStyle w:val="ArticleBody"/>
        <w:jc w:val="left"/>
      </w:pPr>
      <w:r>
        <w:rPr>
          <w:rFonts w:ascii="Times New Roman" w:hAnsi="Times New Roman" w:eastAsia="Times New Roman" w:cs="Times New Roman"/>
        </w:rPr>
        <w:t>Declarația de Independență din 1776 a prefigurat Patriot Act din 2001. Constituția din 1789 a prefigurat procesele Pelosi care au început în 2022. Alien and Sedition Acts din 1798 au prefigurat legea duminicală din Statele Unite.</w:t>
      </w:r>
    </w:p>
    <w:p>
      <w:pPr>
        <w:pStyle w:val="ArticleBody"/>
        <w:jc w:val="left"/>
      </w:pPr>
      <w:r>
        <w:rPr>
          <w:rFonts w:ascii="Times New Roman" w:hAnsi="Times New Roman" w:eastAsia="Times New Roman" w:cs="Times New Roman"/>
        </w:rPr>
        <w:t>Proclamarea independenței de către patrioții americani în 1776 a reprezentat anunțarea pierderii independenței prin Patriot Act din 2001. Constituția din 1789 a reprezentat procesele Pelosi care au început în 2022. Alien and Sedition Acts reprezintă legea duminicală. Istoria repudiării fiecărui principiu al Constituției reprezintă o răsturnare progresivă a Constituției care se încheie la legea duminicală.</w:t>
      </w:r>
    </w:p>
    <w:p>
      <w:pPr>
        <w:pStyle w:val="ArticleBody"/>
        <w:jc w:val="left"/>
      </w:pPr>
      <w:r>
        <w:rPr>
          <w:rFonts w:ascii="Times New Roman" w:hAnsi="Times New Roman" w:eastAsia="Times New Roman" w:cs="Times New Roman"/>
        </w:rPr>
        <w:t>Aceste linii se aliniază toate în istoria ascunsă a versetului patruzeci din Daniel, capitolul unsprezece. În acest articol am citat patru paragrafe din Testimonies, volumul 5, 451, 452.</w:t>
      </w:r>
    </w:p>
    <w:p>
      <w:pPr>
        <w:pStyle w:val="ArticleBody"/>
        <w:jc w:val="left"/>
      </w:pPr>
      <w:r>
        <w:rPr>
          <w:rFonts w:ascii="Times New Roman" w:hAnsi="Times New Roman" w:eastAsia="Times New Roman" w:cs="Times New Roman"/>
        </w:rPr>
        <w:t>În articolul următor vom privi mai îndeaproape acele paragrafe.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doi</dc:title>
  <dc:subject>美国、《爱国者法案》与通往预言应验之路</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