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ёздаҳум</w:t>
      </w:r>
    </w:p>
    <w:p>
      <w:pPr>
        <w:pStyle w:val="ArticleSubtitle"/>
        <w:jc w:val="left"/>
      </w:pPr>
      <w:r>
        <w:rPr>
          <w:rFonts w:ascii="Arial" w:hAnsi="Arial" w:eastAsia="Arial" w:cs="Arial"/>
        </w:rPr>
        <w:t>Ошкор сохтани аҳамияти нубувватии Абубакр дар вои якуми Ваҳй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Дар таърихи пайғамбаронаи войи аввал, роҳбаре, ки пас аз Муҳаммад омад, Абубакр Абдуллоҳ ибни Абӣ Қуҳофа, падарарӯси Муҳаммад, буд. Мо ба ӯ ҳамчун Абубакар ишора хоҳем кард. Ҳам ӯ ва ҳам Муҳаммад дар чор ояти аввали матн зикр шудаанд. Абубакар нахустин ҳокими исломӣ пас аз Муҳаммад буд, ва таърих фармонеро сабт кардааст, ки ӯ ба сарбозонаш дода буд, ва он дар ояти чоруми боби нуҳуми Ваҳй муаррифӣ гардидааст. Ин фармон раванди муҳргузориро ифода мекунад, ки бо фаро расидани войи сеюм оғоз ёфт, ки ҳамчунин Карнаи Ҳафтум буд, ва ҳамчунин фаро расидани фариштаи сеюм буд.</w:t>
      </w:r>
    </w:p>
    <w:p>
      <w:pPr>
        <w:pStyle w:val="ArticleScripture"/>
        <w:jc w:val="left"/>
      </w:pPr>
      <w:r>
        <w:rPr>
          <w:rFonts w:ascii="Times New Roman" w:hAnsi="Times New Roman" w:eastAsia="Times New Roman" w:cs="Times New Roman"/>
        </w:rPr>
        <w:t>Ва фариштаи панҷум карнай навохт, ва ман ситораеро дидам, ки аз осмон бар замин афтод; ва ба ӯ калиди чоҳи беинтиҳо дода шуд. Ва ӯ чоҳи беинтиҳоро кушод; ва дуде аз он чоҳ баромад, мисли дуди кӯраи бузурге; ва офтоб ва ҳаво аз дуди чоҳ тира гардиданд. Ва аз миёни дуд бар рӯи замин малахҳо берун омаданд; ва ба онҳо қудрате дода шуд, чунон ки каждумҳои замин қудрат доранд. Ва ба онҳо амр карда шуд, ки на ба алафи замин, на ба ҳеҷ гиёҳи сабз, ва на ба ҳеҷ дарахте зиёне нарасонанд; балки фақат ба он одамоне, ки мӯҳри Худоро бар пешониҳои худ надоранд. Ваҳй 9:1–4.</w:t>
      </w:r>
    </w:p>
    <w:p>
      <w:pPr>
        <w:pStyle w:val="ArticleBody"/>
        <w:jc w:val="left"/>
      </w:pPr>
      <w:r>
        <w:rPr>
          <w:rFonts w:ascii="Times New Roman" w:hAnsi="Times New Roman" w:eastAsia="Times New Roman" w:cs="Times New Roman"/>
        </w:rPr>
        <w:t>«Ситорае», ки аз осмон афтод, Муҳаммад буд, ки хизматашро дар соли 606 оғоз намуд. Ба Муҳаммад «калид» дода шуд, то «чоҳи беҳад»-ро «кушояд» ва иҷоза диҳад, ки «дуд» «офтоб ва ҳаво»-ро тира гардонад, ва «малахҳо»-ро ба вуҷуд оварад, ки ба онҳо «қудрат» дода шуда буд, мисли қудрати «каждумҳо». Ин калид ҷанги ҳарбие буд, ки сустӣ дар тавоноии низомии Румиён ба вуҷуд овард ва ба ин васила ба бархостани ҷангҷӯии Ислом роҳ кушод. Чоҳи беҳад рамзи Арабистон аст, зодгоҳи Ислом, ва дуд дини ботили Исломро ифода мекард, ки бояд бар рӯи замин паҳн гардад ва ҳамон ҷуғрофияеро тасарруф намояд, ки аз ҷониби тӯдаҳои малах, ки саросари шимоли Африқо, ҷануби Аврупо ва Арабистонро фаро мегиранд, зер карда мешавад. Малахҳо рамзи Исломанд, ва қудрат дар маънои нубувватӣ қудрати ҳарбиро ифода мекунад. Қудрати онҳо мебоист мисли қудрати каждумҳо бошад, ки ногаҳон неш мезананд. Урия Смит мегӯяд:</w:t>
      </w:r>
    </w:p>
    <w:p>
      <w:pPr>
        <w:pStyle w:val="ArticleScripture"/>
        <w:jc w:val="left"/>
      </w:pPr>
      <w:r>
        <w:rPr>
          <w:rFonts w:ascii="Times New Roman" w:hAnsi="Times New Roman" w:eastAsia="Times New Roman" w:cs="Times New Roman"/>
        </w:rPr>
        <w:t>«Ситорае аз осмон бар замин афтод; ва ба ӯ калиди чоҳи беқаър дода шуд.»</w:t>
      </w:r>
    </w:p>
    <w:p>
      <w:pPr>
        <w:pStyle w:val="ArticleScripture"/>
        <w:jc w:val="left"/>
      </w:pPr>
      <w:r>
        <w:rPr>
          <w:rFonts w:ascii="Times New Roman" w:hAnsi="Times New Roman" w:eastAsia="Times New Roman" w:cs="Times New Roman"/>
        </w:rPr>
        <w:t>«Дар ҳоле ки подшоҳи Форс дар бораи аҷоиби ҳунар ва қудрати худ тааммул мекард, ба ӯ номае аз ҷониби як шаҳрванди номаълуми Макка расид, ки ӯро даъват менамуд, то Муҳаммадро ҳамчун расули Худо эътироф кунад. Ӯ ин даъватро рад кард ва номаро пора намуд. «Ҳамин тавр аст», — нидо кард пайғамбари араб, — «ки Худо подшоҳиро пора хоҳад кард ва илтиҷои Хусравро рад хоҳад намуд». Муҳаммад, ки дар канори ин ду империяи Шарқ қарор гирифта буд, пешрафти нобудии мутақобилаи онҳоро бо шодии пинҳонӣ мушоҳида мекард; ва дар миёни пирӯзиҳои Форс ҷуръат намуд пешгӯӣ кунад, ки пеш аз он ки солҳои бисёре сипарӣ шаванд, ғалаба боз ба парчамҳои Румиён боз хоҳад гашт. «Дар замоне ки гуфта мешавад ин пешгӯӣ баён гардидааст, ҳеҷ пешгӯие наметавонист аз амалӣ шудани худ дуртар бошад, зеро дувоздаҳ соли аввали ҳукмронии Ираклий аз наздик шудани фурӯпошии империя хабар медод.»...»</w:t>
      </w:r>
    </w:p>
    <w:p>
      <w:pPr>
        <w:pStyle w:val="ArticleScripture"/>
        <w:jc w:val="left"/>
      </w:pPr>
      <w:r>
        <w:rPr>
          <w:rFonts w:ascii="Times New Roman" w:hAnsi="Times New Roman" w:eastAsia="Times New Roman" w:cs="Times New Roman"/>
        </w:rPr>
        <w:t>«Хусрав мулки Румро дар Осиё ва Африқо мутеъ сохт. Ва “империяи Рум” дар он давра “то ба деворҳои Қустантиния, ҳамроҳ бо боқимондаи Юнон, Итолиё ва Африқо, ва баъзе шаҳрҳои соҳилии каронаи Осиё, аз Сур то Трабизонд, маҳдуд гардида буд. Таҷрибаи шашсола, билохира, подшоҳи Форсро водошт, ки аз фатҳи Қустантиния даст кашад ва хироҷи солонаи фидияи империяи Румро муайян созад,—ҳазор талант тилло, ҳазор талант нуқра, ҳазор ҷомаи абрешимӣ, ҳазор асп ва ҳазор духтари бокира. Ҳироқл ба ин шартҳои нанговар имзо гузошт. Аммо вақт ва фурсате, ки ӯ барои ҷамъ овардани он ганҷҳо аз миёни фақри Машриқ ба даст овард, бо ҷидду ҷаҳд барои омодасозии ҳамлае ҷасурона ва ноумедона ба кор бурда шуд.”</w:t>
      </w:r>
    </w:p>
    <w:p>
      <w:pPr>
        <w:pStyle w:val="ArticleScripture"/>
        <w:jc w:val="left"/>
      </w:pPr>
      <w:r>
        <w:rPr>
          <w:rFonts w:ascii="Times New Roman" w:hAnsi="Times New Roman" w:eastAsia="Times New Roman" w:cs="Times New Roman"/>
        </w:rPr>
        <w:t>«Подшоҳи Форс он сарасени номашҳурро таҳқир мекард ва паёми он пайғамбари ба дурӯғ нисбатдодашудаи Маккаро масхара менамуд. Ҳатто суқути империяи Рум ҳам барои Муҳаммадия роҳе намекушод, ё барои пешрафти мубаллиғони мусаллаҳи сарасенӣ, ки фиреберо тарғиб мекарданд, гарчанде ки подшоҳи форсиён ва хоқони аварҳо (вориси Аттила) боқимондаҳои мамолики қайсарҳоро миёни худ тақсим карда буданд. Хусрави худаш низ суқут кард. Подшоҳиҳои Форс ва Рум нерӯи якдигарро фурӯ костанд. Ва пеш аз он ки шамшере ба дасти он пайғамбари козиб дода шавад, он аз дасти касоне зада гирифта шуд, ки метавонистанд пешрафти ӯро боздоранд ва қудрати ӯро дарҳам шикананд.»</w:t>
      </w:r>
    </w:p>
    <w:p>
      <w:pPr>
        <w:pStyle w:val="ArticleScripture"/>
        <w:jc w:val="left"/>
      </w:pPr>
      <w:r>
        <w:rPr>
          <w:rFonts w:ascii="Times New Roman" w:hAnsi="Times New Roman" w:eastAsia="Times New Roman" w:cs="Times New Roman"/>
        </w:rPr>
        <w:t>«Аз рӯзҳои Сипион ва Ҳаннибал то имрӯз ҳеҷ иқдоми ҷасуронатар аз он чи Ҳераклий барои наҷоти империя ба анҷом расонд, сурат нагирифта буд. Ӯ роҳи пурхатари худро аз тариқи Баҳри Сиёҳ ва кӯҳҳои Арманистон паймуд, ба дили Форс ворид шуд ва лашкарҳои подшоҳи бузургро барои дифои кишвари хунчакондаи онҳо бозхонд.»</w:t>
      </w:r>
    </w:p>
    <w:p>
      <w:pPr>
        <w:pStyle w:val="ArticleScripture"/>
        <w:jc w:val="left"/>
      </w:pPr>
      <w:r>
        <w:rPr>
          <w:rFonts w:ascii="Times New Roman" w:hAnsi="Times New Roman" w:eastAsia="Times New Roman" w:cs="Times New Roman"/>
        </w:rPr>
        <w:t>«Дар ҷанги Нинве, ки аз дамидани субҳ то соати ёздаҳум бо шиддати тамом ҷараён дошт, бисту ҳашт алам, ғайр аз онҳое ки шикаста ё пора шуда метавонистанд, аз форсиён гирифта шуд; қисми бузурги лашкари онҳо торумор гардид, ва ғолибон, талафоти худро пинҳон дошта, шабро дар майдони ҷанг сипарӣ карданд. Шаҳрҳо ва қасрҳои Ошур бори нахуст ба рӯйи румиён кушода шуданд».</w:t>
      </w:r>
    </w:p>
    <w:p>
      <w:pPr>
        <w:pStyle w:val="ArticleScripture"/>
        <w:jc w:val="left"/>
      </w:pPr>
      <w:r>
        <w:rPr>
          <w:rFonts w:ascii="Times New Roman" w:hAnsi="Times New Roman" w:eastAsia="Times New Roman" w:cs="Times New Roman"/>
        </w:rPr>
        <w:t>Императори Рум аз истилоҳое ки ба даст овард, қувват наёфт; ва ҳамзамон, ва ба воситаи ҳамон васила, роҳе омода гардид барои анбӯҳи саросиниёни аз Арабистон бархоста, ки мисли малахҳо аз ҳамон сарзамин буданд, ва дар ҷараёни ҳаракати худ ақидаи торик ва фиребандаи Муҳаммадиро паҳн намуда, ба зудӣ ҳам бар империяи Форс ва ҳам бар империяи Рум фаро гирифта шуданд.</w:t>
      </w:r>
    </w:p>
    <w:p>
      <w:pPr>
        <w:pStyle w:val="ArticleScripture"/>
        <w:jc w:val="left"/>
      </w:pPr>
      <w:r>
        <w:rPr>
          <w:rFonts w:ascii="Times New Roman" w:hAnsi="Times New Roman" w:eastAsia="Times New Roman" w:cs="Times New Roman"/>
        </w:rPr>
        <w:t>Барои тасвири пурратари ин воқеият аз суханони хотимавии боб аз Гиббон, ки иқтибосҳои пешина аз он гирифта шудаанд, беҳтар аз ин чизе наметавон орзу кард. «Гарчанде ки зери парчами Ҳироқлӣ лашкари пирӯзманде ташкил ёфта буд, ин кӯшиши ғайритабиӣ зоҳиран нерӯи онҳоро бештар фарсоиш дод, на ин ки ба кор андохт. Дар ҳоле ки император дар Қустантиния ё Ерусалим тантана мекард, шаҳраки номаълуми воқеъ дар сарҳадҳои Шом аз ҷониби сарасенҳо тороҷ шуд, ва онҳо баъзе аз дастаҳои низомиро, ки барои наҷоти он пеш рафта буданд, пора-пора карданд,—ҳодисаи маъмулӣ ва ночиз, агар пешдаромади инқилоби азиме намебуд. Ин роҳзанон расулони Муҳаммад буданд; далерии девонаворонаи онҳо аз биёбон сар бароварда буд; ва дар ҳашт соли охири салтанати худ, Ҳироқлӣ ҳамон вилоятҳоеро ба арабҳо аз даст дод, ки онҳоро аз форсиён наҷот дода буд.</w:t>
      </w:r>
    </w:p>
    <w:p>
      <w:pPr>
        <w:pStyle w:val="ArticleScripture"/>
        <w:jc w:val="left"/>
      </w:pPr>
      <w:r>
        <w:rPr>
          <w:rFonts w:ascii="Times New Roman" w:hAnsi="Times New Roman" w:eastAsia="Times New Roman" w:cs="Times New Roman"/>
        </w:rPr>
        <w:t>«“Рӯҳи фиреб ва шӯр, ки манзилаш дар осмонҳо нест,” бар замин раҳо карда шуд. Чоҳи беҳадд фақат ба калиде барои кушода шудан ниёз дошт, ва он калид суқути Хусрав буд. Ӯ номаи шаҳрванди ношинохтаи Маккаро бо таҳқир дарида буд. Аммо ҳангоме ки аз “шуълаи ҷалол”-и худ ба “бурҷи зулмот”, ки ҳеҷ чашме наметавонист ба он нуфуз кунад, фурӯ афтод, номи Хусрав ногаҳон мебоист пеши номи Муҳаммад ба фаромӯшӣ супурда шавад; ва ҳилол гӯё танҳо мунтазири тулӯи худ буд, то ситора фурӯ афтад. Хусрав, пас аз шикасти комил ва аз даст додани салтанати худ, дар соли 628 кушта шуд; ва соли 629 бо “фатҳи Арабистон” ва “нахустин ҷанги мусулмонон бар зидди империяи Рум” мушаххас гардидааст. “Ва фариштаи панҷум карнай навохт, ва ман ситораеро дидам, ки аз осмон ба замин афтод; ва ба вай калиди чоҳи беҳадд дода шуд. Ва ӯ чоҳи беҳаддро кушод.” Ӯ ба замин афтод. Вақте ки қуввати империяи Рум фарсуда гардида буд, ва шоҳи бузурги Машриқ дар бурҷи зулмоти худ мурда мехобид, тороҷи шаҳри ношинохтае дар марзҳои Сурия “даромади инқилоби азиме” буд. “Ғоратгарон ҳавориёни Муҳаммад буданд, ва шуҷоати девонаворонаи онҳо аз биёбон сар баровард.”»</w:t>
      </w:r>
    </w:p>
    <w:p>
      <w:pPr>
        <w:pStyle w:val="ArticleScripture"/>
        <w:jc w:val="left"/>
      </w:pPr>
      <w:r>
        <w:rPr>
          <w:rFonts w:ascii="Times New Roman" w:hAnsi="Times New Roman" w:eastAsia="Times New Roman" w:cs="Times New Roman"/>
        </w:rPr>
        <w:t>«Чоҳи бепоён.» — Маънои ин истилоҳро метавон аз забони юнонӣ дарёфт, ки чунин таъриф мешавад: «амиқ, бепоён, жарф»; ва он метавонад ба ҳар макони вайрона, хароб, ва киштношуда ишора намояд. Ин истилоҳ нисбат ба замин дар ҳолати ибтидоии бетартибӣ ва ошуфтагии он ба кор бурда шудааст. Ҳаст. 1:2. Дар ин маврид он метавонад ба таври муносиб ба паҳноҳои номаълуми биёбони Арабистон ишора кунад, ки аз марзҳои он тӯдаҳои сарасенҳо мисли анбӯҳи малахон берун омаданд. Ва суқути Хусрав, подшоҳи Форс, метавонад ба хубӣ ҳамчун кушода шудани чоҳи бепоён тасвир гардад, зеро он роҳро барои пайравони Муҳаммад ҳамвор сохт, то аз кишвари торики худ берун оянд ва таълимоти фиребандаи худро бо оташ ва шамшер паҳн намоянд, то он даме ки торикии худро бар тамоми империяи Шарқ густурданд.» Урайя Смит, Daniel and Revelation, 495–498.</w:t>
      </w:r>
    </w:p>
    <w:p>
      <w:pPr>
        <w:pStyle w:val="ArticleBody"/>
        <w:jc w:val="left"/>
      </w:pPr>
      <w:r>
        <w:rPr>
          <w:rFonts w:ascii="Times New Roman" w:hAnsi="Times New Roman" w:eastAsia="Times New Roman" w:cs="Times New Roman"/>
        </w:rPr>
        <w:t>Воҳаи аввал, ки карнаи панҷум аст, оғози ҷанги ислом бар зидди Румро муайян месозад, ва он инчунин ҷангеро миёни Рум ва Форс муайян мекунад, ки дар он Рум пирӯз гардид, вале бо ин кор қувваи ҳарбии худро то он ҳад сарф намуд, ки дигар натавонист аз болоравии қудрати исломӣ пешгирӣ кунад. Хусусиятҳои нубувватии воҳаи аввал ва воҳаи дуюм, хусусиятҳои нубувватии воҳаи сеюмро муайян месозанд, ва муҳим аст, ки ду воҳаи аввал ҳамчун рамзҳои таърихи воҳаи сеюм шинохта шаванд, зеро он таърих давраи муҳр зада шудани яксаду чилу чаҳор ҳазорро ифода мекунад, ки аз 11 сентябри соли 2001 оғоз ёфт. Пас аз таърихи нубувватие, ки дар се ояти аввал ба воситаи Муҳаммад тасвир шудааст, ояти чорум Абубакрро, ки нахустин роҳбар пас аз Муҳаммад буд, муаррифӣ мекунад.</w:t>
      </w:r>
    </w:p>
    <w:p>
      <w:pPr>
        <w:pStyle w:val="ArticleScripture"/>
        <w:jc w:val="left"/>
      </w:pPr>
      <w:r>
        <w:rPr>
          <w:rFonts w:ascii="Times New Roman" w:hAnsi="Times New Roman" w:eastAsia="Times New Roman" w:cs="Times New Roman"/>
        </w:rPr>
        <w:t>Ва ба онҳо фармон дода шуд, ки ба алафи замин, на ба ҳеҷ сабзае ва на ба ҳеҷ дарахте зиёне нарасонанд, балки фақат ба он одамоне, ки мӯҳри Худоро бар пешониҳои худ надоранд. Ваҳй 9:4.</w:t>
      </w:r>
    </w:p>
    <w:p>
      <w:pPr>
        <w:pStyle w:val="ArticleBody"/>
        <w:jc w:val="left"/>
      </w:pPr>
      <w:r>
        <w:rPr>
          <w:rFonts w:ascii="Times New Roman" w:hAnsi="Times New Roman" w:eastAsia="Times New Roman" w:cs="Times New Roman"/>
        </w:rPr>
        <w:t>Фармони Абубакр ба размандагони исломӣ дастур медод, ки миёни ду навъи парастандагон, ки дар он замон дар қаламравҳои Рум вуҷуд доштанд, фарқ гузоранд. Як гурӯҳ католикон буданд, ки баъзе аз тариқатҳои динии онҳо пушти сари худро метарошиданд (тонсура) ва ибодати рӯзи якшанберо риоя мекарданд. Гурӯҳи дигар нигаҳдорандагони Шанбеи рӯзи ҳафтум буданд, ва Шанбе мӯҳри Худост.</w:t>
      </w:r>
    </w:p>
    <w:p>
      <w:pPr>
        <w:pStyle w:val="ArticleScripture"/>
        <w:jc w:val="left"/>
      </w:pPr>
      <w:r>
        <w:rPr>
          <w:rFonts w:ascii="Times New Roman" w:hAnsi="Times New Roman" w:eastAsia="Times New Roman" w:cs="Times New Roman"/>
        </w:rPr>
        <w:t>«Пас аз вафоти Муҳаммад, ӯро дар роҳбарӣ Абӯбакр, соли 632 милодӣ, иваз намуд; ва ҳамин ки ҳокимият ва ҳукумати худро ба таври устувор барқарор кард, ба қабилаҳои Арабистон номаи даврӣ фиристод, ки иқтибоси зерин аз он гирифта шудааст:—</w:t>
      </w:r>
    </w:p>
    <w:p>
      <w:pPr>
        <w:pStyle w:val="ArticleScripture"/>
        <w:jc w:val="left"/>
      </w:pPr>
      <w:r>
        <w:rPr>
          <w:rFonts w:ascii="Times New Roman" w:hAnsi="Times New Roman" w:eastAsia="Times New Roman" w:cs="Times New Roman"/>
        </w:rPr>
        <w:t>«Ҳангоме ки дар ҷангҳои Худованд меҷангед, мисли мардон худро нишон диҳед ва пушт нагардонед; аммо нагузоред, ки пирӯзии шумо ба хуни занон ва кӯдакон олуда гардад. Ҳеҷ дарахти хурморо нест накунед ва ҳеҷ киштзори ғалларо насӯзонед. Ҳеҷ дарахти мевадиҳандаро набуред ва ба чорво ҳеҷ зиёне нарасонед, ҷуз он чи барои хӯрдан мекушед. Ва ҳар гоҳ аҳд ё шарте бибандед, ба он вафо кунед ва ба ваъдаи худ содиқ бошед. Ва дар роҳи худ ба баъзе ашхоси динӣ хоҳед расид, ки дар дайрҳо ба гӯшанишинӣ зиндагӣ мекунанд ва ба худ чунин пешниҳод кардаанд, ки ба он тарз ба Худо хизмат намоянд; онҳоро ба ҳоли худ вогузоред ва на онҳоро бикушед ва на дайрҳояшонро вайрон созед. Ва навъи дигари мардумеро хоҳед ёфт, ки ба куништи шайтон тааллуқ доранд ва сарҳояшон тарошида шудааст; ҳушёр бошед, ки косахонаи сарашонро бишикофед ва ба онҳо ҳеҷ амон надиҳед, то он ки ё муҳаммадӣ шаванд ё ҷизя бипардозанд».</w:t>
      </w:r>
    </w:p>
    <w:p>
      <w:pPr>
        <w:pStyle w:val="ArticleScripture"/>
        <w:jc w:val="left"/>
      </w:pPr>
      <w:r>
        <w:rPr>
          <w:rFonts w:ascii="Times New Roman" w:hAnsi="Times New Roman" w:eastAsia="Times New Roman" w:cs="Times New Roman"/>
        </w:rPr>
        <w:t>«Дар пешгӯӣ ё дар таърих гуфта нашудааст, ки дастурҳои инсонпарваронатар ба ҳамон андозае ботадқиқ риоя шудаанд, ки фармони бераҳмона; аммо ба онҳо чунин амр шуда буд. Ва гуфтаҳои пешин танҳо дастурҳое мебошанд, ки Гиббон онҳоро ҳамчун супоришҳои Абубакр ба сарвароне сабт кардааст, ки вазифаи онҳо баровардани фармонҳо ба ҳамаи лашкарҳои сарасенӣ буд. Ин фармонҳо бо пешгӯӣ ба яксонӣ тафриқакунандаанд, чунон ки гӯё худи халифа низ дар итоати ошкоро, ҳамчунин мустақим, ба фармоне болотар аз фармони инсони фонӣ амал мекард; ва ӯ дар ҳамон амали берун рафтан ба ҷанг бар зидди дини Исо, ва ба ҷои он паҳн кардани муҳаммадия, ҳамон суханонеро такрор кард, ки дар Ваҳйи Исои Масеҳ пешгӯӣ шуда буд, ки ӯ онҳоро хоҳад гуфт.</w:t>
      </w:r>
    </w:p>
    <w:p>
      <w:pPr>
        <w:pStyle w:val="ArticleScripture"/>
        <w:jc w:val="left"/>
      </w:pPr>
      <w:r>
        <w:rPr>
          <w:rFonts w:ascii="Times New Roman" w:hAnsi="Times New Roman" w:eastAsia="Times New Roman" w:cs="Times New Roman"/>
        </w:rPr>
        <w:t>«Мӯҳри Худо бар пешониҳои онҳо.—Дар мулоҳизаҳо оид ба боби 7:1–3 мо нишон додаем, ки мӯҳри Худо ҳамон шанбеи аҳкоми чорум аст; ва таърих нисбат ба он воқеият хомӯш нест, ки дар тамоми ин давраи ҳозира нигоҳдорандагони шанбеи ҳақиқӣ вуҷуд доштаанд. Аммо дар ин ҷо барои бисёриҳо чунин савол пеш омадааст: он мардоне ки дар он вақт мӯҳри Худоро бар пешониҳои худ доштанд ва ба ин васила аз зулми Муҳаммадӣ озод монданд, киҳо буданд? Бигзор хонанда он воқеиятро, ки пештар ба он ишора шуд, дар хотир нигоҳ дорад, ки дар тамоми ин давра касоне будаанд, ки мӯҳри Худоро бар пешониҳои худ доштанд, ё риоякунандагони огоҳонаи шанбеи ҳақиқӣ будаанд; ва бигзор боз инро низ ба назар гирад, ки он чи нубувват таъкид мекунад, ин аст, ки ҳамлаҳои ин қувваи вайронгари туркӣ на бар зидди онҳо, балки бар зидди табақаи дигар равона шудаанд. Ҳамин тавр, мавзӯъ аз ҳар гуна душворӣ озод мегардад; зеро воқеан нубувват фақат ҳаминро баён мекунад. Дар матн танҳо як табақаи одамон бевосита пеши назар оварда шудааст; яъне онҳое ки мӯҳри Худоро бар пешониҳои худ надоранд; ва ҳифзи онҳое ки мӯҳри Худоро доранд, танҳо ба тариқи ишорат зикр мешавад. Мувофиқи ин, мо аз таърих намеомӯзем, ки касе аз инҳо дар ҳеҷ яке аз мусибатҳое ки сарасенҳо бар объектҳои нафрати худ фурӯ оварданд, гирифтор шуда бошад. Онҳо бар зидди табақаи дигари одамон таъин шуда буданд. Ва нобудие ки бояд бар ин табақаи одамон биёяд, на дар муқобили ҳифзи одамони дигар, балки танҳо дар муқобили ҳифзи меваҳо ва сабзаи замин гузошта шудааст; ба ин маънӣ: ба алаф, дарахтон ва ҳеҷ чизи сабз осеб нарасонед, балки танҳо ба як табақаи муайяни одамон. Ва дар иҷрои ин, мо манзараи аҷиберо мебинем, ки лашкари истилогарон он чизҳоро, ки чунин лашкарҳо одатан нобуд месозанд, яъне симои табиат ва маҳсули онро, дар амон мегузорад; ва мувофиқи иҷозате ки доштанд, то ба он одамоне осеб расонанд, ки мӯҳри Худоро бар пешониҳои худ надоштанд, косахонаи сари як табақаи диндоронеро, ки тоҷҳои тарошида доштанд ва ба куништгоҳи шайтон тааллуқ доштанд, мешикофтанд.»</w:t>
      </w:r>
    </w:p>
    <w:p>
      <w:pPr>
        <w:pStyle w:val="ArticleScripture"/>
        <w:jc w:val="left"/>
      </w:pPr>
      <w:r>
        <w:rPr>
          <w:rFonts w:ascii="Times New Roman" w:hAnsi="Times New Roman" w:eastAsia="Times New Roman" w:cs="Times New Roman"/>
        </w:rPr>
        <w:t>«Бешубҳа, инҳо як табақаи роҳибон, ё баъзе шохаҳои дигари Калисои Католикии Рум буданд. Силоҳи муҳаммадиён бар зидди инҳо равона гардида буд. Ва ба назари мо, агар на бо қасди махсус, пас дастикам бо мувофиқати хоссе, онҳо чунин тавсиф шудаанд, ки мӯҳри Худоро бар пешониҳои худ надоштанд; зеро маҳз ҳамон калисоест, ки қонуни Худоро аз мӯҳри он маҳрум сохтааст, бо он ки шанбеи ҳақиқиро аз миён бурда, ба ҷои он як қалбакӣ барпо кардааст. Ва мо, на аз нубувват ва на аз таърих, чунин намефаҳмем, ки он ашхосе, ки Абубакр ба пайравонаш амр карда буд, онҳоро озор надиҳанд, соҳиби мӯҳри Худо буданд, ё ҳатман қавми Худоро ташкил медоданд. Инҳо киҳо буданд ва бо кадом сабаб онҳоро дар амон гузоштанд, шаҳодати мухтасари Гиббон ба мо намегӯяд, ва мо роҳи дигари донистан ҳам надорем; аммо мо ҳар гуна асос дорем, ки бовар кунем ҳеҷ яке аз онҳое ки мӯҳри Худоро доштанд, озор надидаанд, дар ҳоле ки табақаи дигаре, ки ба таври таъкиднок онро надоштанд, ба шамшер супурда шуданд; ва ҳамин тавр, хусусиятҳои ин нубувват ба таври фаровон иҷро мегарданд». Уриё Смит, Daniel and Revelation, 500–502.</w:t>
      </w:r>
    </w:p>
    <w:p>
      <w:pPr>
        <w:pStyle w:val="ArticleBody"/>
        <w:jc w:val="left"/>
      </w:pPr>
      <w:r>
        <w:rPr>
          <w:rFonts w:ascii="Times New Roman" w:hAnsi="Times New Roman" w:eastAsia="Times New Roman" w:cs="Times New Roman"/>
        </w:rPr>
        <w:t>Абубакр пас аз марги Муҳаммад пайравони Муҳаммадро ба як Хилофат муттаҳид сохт; бинобар ин, гарчанде ки онҳо ду шахсияти гуногуни таърихӣ мебошанд, дар якҷоягӣ онҳо оғози шаҳодати Исломро ба ҳайси войи аввал намояндагӣ мекунанд, ва шахсияти таърихие, ки таърихи войи аввалро муайян менамояд, Муҳаммад аст.</w:t>
      </w:r>
    </w:p>
    <w:p>
      <w:pPr>
        <w:pStyle w:val="ArticleBody"/>
        <w:jc w:val="left"/>
      </w:pPr>
      <w:r>
        <w:rPr>
          <w:rFonts w:ascii="Times New Roman" w:hAnsi="Times New Roman" w:eastAsia="Times New Roman" w:cs="Times New Roman"/>
        </w:rPr>
        <w:t>Дар оғози таърихи войи дуюм, Муҳаммад II дар соли 1453 Константинополро фатҳ кард. Дар соли 1449, чор фаришта, ки Исломро намояндагӣ мекарданд, раҳо карда шуданд. Оғоз ва анҷоми войи якум мутаносибан бо Муҳаммад, якум ва дуюм, аломатгузорӣ шудааст. Аз ҷиҳати набавӣ, оғози ва анҷоми таърихи войи якум мӯҳри Алфа ва Омегаро бар худ дорад.</w:t>
      </w:r>
    </w:p>
    <w:p>
      <w:pPr>
        <w:pStyle w:val="ArticleBody"/>
        <w:jc w:val="left"/>
      </w:pPr>
      <w:r>
        <w:rPr>
          <w:rFonts w:ascii="Times New Roman" w:hAnsi="Times New Roman" w:eastAsia="Times New Roman" w:cs="Times New Roman"/>
        </w:rPr>
        <w:t>Оғози войи дуюм пешгӯии замонии чор фариштаро дар бар мегирад, ки намояндаи Ислом мебошанд, ки он вақт озод карда шуданд, ва сипас 11 августи соли 1840 боздошта гардиданд. Аз он лаҳза то 22 октябри соли 1844 муҳр задани яксаду чиҳилу чаҳор ҳазор ба тасвир кашида мешавад. Оғози войи дуюм озод шудани Исломро муайян мекунад, ва анҷоми он боздошта шудани Исломро нишон медиҳад. Ҳам войи якум ва ҳам войи дуюм нишонгарҳои дақиқи пешгӯёна доранд, ки оғози онҳоро ба анҷомҳояшон мепайванданд.</w:t>
      </w:r>
    </w:p>
    <w:p>
      <w:pPr>
        <w:pStyle w:val="ArticleBody"/>
        <w:jc w:val="left"/>
      </w:pPr>
      <w:r>
        <w:rPr>
          <w:rFonts w:ascii="Times New Roman" w:hAnsi="Times New Roman" w:eastAsia="Times New Roman" w:cs="Times New Roman"/>
        </w:rPr>
        <w:t>Ду войи аввал бояд бар болои якдигар, «қатор бар қатор», гузошта шаванд, то войи сеюм муайян гардад. Яке аз хусусиятҳои нубувватие, ки тавассути ду шоҳиди аввали Ислом муайян мешавад, ин аст, ки онҳо як давраи мушаххаси вақтро намояндагӣ мекунанд, ки оғоз ва анҷоми он бо имзои Алфа ва Омега нишонгузорӣ шудааст. Онҳо ҳамчунин дорои як имзои дуввум мебошанд, зеро оғози войи аввал мӯҳр задани қавми Худоро муайян мекунад, ва анҷоми войи дуввум низ мӯҳр задани қавми Худоро муайян мекунад.</w:t>
      </w:r>
    </w:p>
    <w:p>
      <w:pPr>
        <w:pStyle w:val="ArticleBody"/>
        <w:jc w:val="left"/>
      </w:pPr>
      <w:r>
        <w:rPr>
          <w:rFonts w:ascii="Times New Roman" w:hAnsi="Times New Roman" w:eastAsia="Times New Roman" w:cs="Times New Roman"/>
        </w:rPr>
        <w:t>Войи сеюм ҳангоме фаро расид, ки Ислом ногаҳон ва ғайричашмдошт ба ҳайвони заминии Ваҳй боби сездаҳ ҳамла кард ва ба ин васила давраи муҳргузорӣ оғоз ёфт. Муҳргузории яксаду чилу чор ҳазор бо қонуни наздикояндаи рӯзи якшанбе ба поён мерасад, ва дар посух ба он иртидод, иртидоди миллӣ бо харобии миллӣ пайравӣ мешавад. Чунон ки дар мисоли Рими бутпараст ва Рими папавӣ пешнамоиш ёфтааст, харобии миллӣ тавассути довариҳои карнаии Худо анҷом меёбад. Се вой ҳамчунин карнаҳо мебошанд. Исломи войи сеюм, дар Иёлоти Муттаҳида, ҳангоми қонуни наздикояндаи рӯзи якшанбе, вақте ки давраи муҳргузории яксаду чилу чор ҳазор ба поён мерасад, боз ногаҳон ва ғайричашмдошт зарба хоҳад зад. Он давра бо давраи оғози войи якум, ва ҳамчунин бо давраи анҷоми войи дуюм, пешнамоиш ёфтааст.</w:t>
      </w:r>
    </w:p>
    <w:p>
      <w:pPr>
        <w:pStyle w:val="ArticleBody"/>
        <w:jc w:val="left"/>
      </w:pPr>
      <w:r>
        <w:rPr>
          <w:rFonts w:ascii="Times New Roman" w:hAnsi="Times New Roman" w:eastAsia="Times New Roman" w:cs="Times New Roman"/>
        </w:rPr>
        <w:t>Мо ин омӯзишро дар мақолаи оянда идома хоҳем дод.</w:t>
      </w:r>
    </w:p>
    <w:p>
      <w:pPr>
        <w:pStyle w:val="ArticleScripture"/>
        <w:jc w:val="left"/>
      </w:pPr>
      <w:r>
        <w:rPr>
          <w:rFonts w:ascii="Times New Roman" w:hAnsi="Times New Roman" w:eastAsia="Times New Roman" w:cs="Times New Roman"/>
        </w:rPr>
        <w:t>Ва Сорра писари Ҳоҷари мисриро, ки вай барои Иброҳим зоида буд, дид, ки масхара мекунад. Бинобар ин ба Иброҳим гуфт: «Ин каниз ва писарашро берун кун, зеро писари ин каниз бо писари ман, яъне бо Исҳоқ, ворис нахоҳад шуд». Ва ин сухан дар назари Иброҳим ба сабаби писараш бисёр вазнин афтод. Ва Худо ба Иброҳим гуфт: «Бигзор ин чиз дар назари ту ба сабаби он писар ва ба сабаби канизат вазнин нанамояд; дар ҳар он чи Сорра ба ту гуфтааст, ба овози вай гӯш деҳ, зеро насли ту дар Исҳоқ хонда хоҳад шуд. Ва аз писари каниз низ халқе ба вуҷуд хоҳам овард, зеро ки ӯ насли туст». Ва Иброҳим субҳи барвақт бархоста, нон ва машки об гирифта, ба Ҳоҷар дод, онҳоро бар китфи вай ниҳода, инчунин кӯдакро, ва ӯро равона кард; ва вай рафта, дар биёбони Беэр-Шобеъ саргардон шуд. Ва оби машк тамом шуд, ва вай кӯдакро зери яке аз буттаҳо партофт. Ва худ рафта, дар рӯ ба рӯи ӯ, дар масофаи дуртаре, тақрибан ба андозаи як тирпарронӣ, нишаст; зеро гуфт: «Марги кӯдакро набинам». Ва вай дар рӯ ба рӯи ӯ нишаст, ва овози худро баланд карда, гирист. Ва Худо овози писарро шунид; ва фариштаи Худо аз осмон Ҳоҷарро нидо карда, ба вай гуфт: «Эй Ҳоҷар, туро чӣ шудааст? Натарс, зеро Худо овози писарро дар он ҷое ки ҳаст, шунидааст. Бархез, писарро бардор ва ӯро бо дасти худ нигоҳ дор, зеро ки ӯро ба халқи бузурге табдил хоҳам дод». Ва Худо чашмони вайро кушод, ва вай чоҳи оберо дид; ва рафта, машкро аз об пур кард ва ба писар нӯшонид. Ва Худо бо он писар буд; ва вай калон шуд, ва дар биёбон сокин гашт, ва камонвар шуд. Ҳастӣ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ёздаҳум</dc:title>
  <dc:subject>Ошкор сохтани аҳамияти нубувватии Абубакр дар вои якуми Ваҳй</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