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чордаҳум</w:t>
      </w:r>
    </w:p>
    <w:p>
      <w:pPr>
        <w:pStyle w:val="ArticleSubtitle"/>
        <w:jc w:val="left"/>
      </w:pPr>
      <w:r>
        <w:rPr>
          <w:rFonts w:ascii="Arial" w:hAnsi="Arial" w:eastAsia="Arial" w:cs="Arial"/>
        </w:rPr>
        <w:t>Насли охирин: ошкор сохтани иҷрои нубувватии Ҳизқиёл ва мӯҳргузории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Насле, ки омадани войи сеюмро дар 11 сентябри соли 2001 шоҳид буд, охирин насли таърихи замин аст. Порчае аз Ҳизқиёл, ки ин ҳақиқатро тасдиқ мекунад, аз ҷониби миллериён ҳамчун ба масали даҳ бокира мустақиман марбут фаҳмида мешуд ва бинобар ин, ба боби дуюми Ҳабаққуқ низ. Дар он таърих, рӯъёи боби дуюми Ҳабаққуқ, ки дигар «ба таъхир нахоҳад афтод», ва ки дар 22 октябри соли 1844 ба иҷро расид, қонуни наздикояндаи якшанберо дар Иёлоти Муттаҳида пешнамоӣ мекард. Аммо пешгӯии Ҳизқиёл дар бораи рӯъёе, ки дигар тӯл дода нахоҳад шуд, ба таври комил дар таърихи муҳргузории яксаду чилу чор ҳазор, ки бо омадани войи сеюм дар 11 сентябри соли 2001 оғоз ёфт, ба иҷро мерасад.</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ин чӣ масалест, ки шумо дар замини Исроил доред ва мегӯед: “Рӯзҳо тӯл мекашанд, ва ҳар рӯъё ботил мегардад”? Бинобар ин ба онҳо бигӯ: “Худованд Худо чунин мегӯяд: Ман ин масалро аз миён хоҳам бурд, ва онҳо дигар онро дар Исроил чун масал ба забон нахоҳанд овард; балки ба онҳо бигӯ: ‘Рӯзҳо наздиканд, ва анҷоми ҳар рӯъё низ.’ Зеро дар миёни хонадони Исроил дигар ҳеҷ рӯъёи ботил ва ҳеҷ фолбинии хушомадгӯёна нахоҳад буд. Зеро Ман Худованд ҳастам: Ман сухан хоҳам гуфт, ва сухане ки Ман мегӯям, ба амал хоҳад омад; он дигар ба таъхир нахоҳад афтод; зеро дар рӯзҳои шумо, эй хонадони саркаш, Ман сухан хоҳам гуфт ва онро ба ҷо хоҳам овард”, мегӯяд Худованд Худо». Ва боз каломи Худованд бар ман нозил шуда, гуфт: «Эй писари одам, инак, аҳли хонадони Исроил мегӯянд: “Рӯъёе ки ӯ мебинад, барои рӯзҳои бисёр баъд аст, ва ӯ дар бораи замонҳои дур нубувват мекунад”. Бинобар ин ба онҳо бигӯ: “Худованд Худо чунин мегӯяд: Ҳеҷ яке аз суханони Ман дигар ба таъхир нахоҳад афтод, балки сухане ки Ман гуфтаам, ба амал хоҳад омад”, мегӯяд Худованд Худо». Ҳизқиёл 12:21–28.</w:t>
      </w:r>
    </w:p>
    <w:p>
      <w:pPr>
        <w:pStyle w:val="ArticleBody"/>
        <w:jc w:val="left"/>
      </w:pPr>
      <w:r>
        <w:rPr>
          <w:rFonts w:ascii="Times New Roman" w:hAnsi="Times New Roman" w:eastAsia="Times New Roman" w:cs="Times New Roman"/>
        </w:rPr>
        <w:t>Ҳамаи анбиё дар бораи айёми охир сухан мегӯянд, ва «рӯъёи ботил» ва «фоли хушомадгӯёна» «дар миёни хонадони Исроил» ҳамон борони дерини тақаллубист, паёми «сулҳ ва амният», ки баҳс мекунад, ки «рӯъёе ки ӯ мебинад, барои рӯзҳои бисёр баъд аст, ва ӯ дар бораи замонҳои бисёр дур нубувват мекунад». Ин аст «баҳси» Ҳабаққуқ, зеро онҳое ки «рӯъёи ботил»-ро пешкаш мекунанд, бар зидди «рӯъёе ки ӯ мебинад» далел меоранд. Онҳо даъво мекунанд, ки «Рӯъёе ки ӯ мебинад, барои рӯзҳои бисёр баъд аст, ва ӯ дар бораи замонҳои бисёр дур нубувват мекунад». Паёмрасонони паёми сулҳ ва амният иддао мекунанд: «рӯзҳо тӯл кашидаанд, ва ҳар рӯъё ботил мегардад», зеро, охир, магар ӯ 18 июли соли 2020-ро пешгӯӣ накарда буд? Паёмрасонони «рӯъёи ботил» инчунин аз ҷониби Ҳизқиёл дар ду ояти аввали ин боб низ муайян карда шудаанд.</w:t>
      </w:r>
    </w:p>
    <w:p>
      <w:pPr>
        <w:pStyle w:val="ArticleScripture"/>
        <w:jc w:val="left"/>
      </w:pPr>
      <w:r>
        <w:rPr>
          <w:rFonts w:ascii="Times New Roman" w:hAnsi="Times New Roman" w:eastAsia="Times New Roman" w:cs="Times New Roman"/>
        </w:rPr>
        <w:t>Ва каломи Парвардигор боз бар ман нозил шуда, гуфт: «Эй писари одам, ту дар миёни хонаи исёнгар сокинӣ, ки чашмон доранд, то бубинанд, вале намебинанд; гӯшҳо доранд, то бишнаванд, вале намешунаванд; зеро ки онҳо хонаи исёнгар ҳастанд». Ҳизқиёл 12:1, 2.</w:t>
      </w:r>
    </w:p>
    <w:p>
      <w:pPr>
        <w:pStyle w:val="ArticleBody"/>
        <w:jc w:val="left"/>
      </w:pPr>
      <w:r>
        <w:rPr>
          <w:rFonts w:ascii="Times New Roman" w:hAnsi="Times New Roman" w:eastAsia="Times New Roman" w:cs="Times New Roman"/>
        </w:rPr>
        <w:t>Ҳамаи анбиё бо якдигар мувофиқанд ва ҳама дар бораи айёми охир сухан мегӯянд; ва ҳангоме ки Масеҳ дар таърихи хизмати Худ ба яҳудиёни баҳсҷӯй муроҷиат намуд, Ӯ аз Ишаъё иқтибос овард, то он яҳудиёни баҳсҷӯйро, ки он вақт аз ҷониби Худо талоқ дода мешуданд, чунин муайян созад: чашмон доранд, то бубинанд, вале намебинанд, ва гӯшҳо доранд, то бишнаванд, вале намешунаванд. Акнун, чунон ки он вақт буд, Ҳизқиёл ба мардони истеҳзокори адвентизми Лоудиқия муроҷиат мекунад, ба яҳудиёни баҳсҷӯи рӯзгори мо, ки паёми сулҳу амниятро дар муқобили паёми борони охир пешниҳод менамоянд. Исо мутобиқи қоидаҳое амал мекард, ки Худ дар Каломи Худ қарор дода буд, бинобар ин пешгӯиҳои Ӯ низ ба айёми охир, мушаххастар аз рӯзҳое ки дар онҳо ба яҳудиёни баҳсҷӯй муроҷиат намуда буд, нигаронида шудаанд.</w:t>
      </w:r>
    </w:p>
    <w:p>
      <w:pPr>
        <w:pStyle w:val="ArticleScripture"/>
        <w:jc w:val="left"/>
      </w:pPr>
      <w:r>
        <w:rPr>
          <w:rFonts w:ascii="Times New Roman" w:hAnsi="Times New Roman" w:eastAsia="Times New Roman" w:cs="Times New Roman"/>
        </w:rPr>
        <w:t>Бинобар ин, Ман ба онҳо бо масалҳо сухан мегӯям, зеро ки дида намебинанд, ва шунида намешунаванд, ва намефаҳманд. Ва дар онҳо пешгӯии Ишаъё ба амал меояд, ки мегӯяд: «Бо шунидан хоҳед шунид, вале нахоҳед фаҳмид; ва дида хоҳед дид, вале дарк нахоҳед кард. Зеро дили ин қавм ғафс гардидааст, ва гӯшҳошон кар шудаанд, ва чашмони худро бастаанд; мабодо бо чашмони худ бинанд, ва бо гӯшҳои худ бишнаванд, ва бо дили худ бифаҳманд, ва рӯй оваранд, ва Ман онҳоро шифо диҳам». Аммо чашмони шумо муборак аст, зеро мебинанд; ва гӯшҳои шумо, зеро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Матто 13:13–17.</w:t>
      </w:r>
    </w:p>
    <w:p>
      <w:pPr>
        <w:pStyle w:val="ArticleBody"/>
        <w:jc w:val="left"/>
      </w:pPr>
      <w:r>
        <w:rPr>
          <w:rFonts w:ascii="Times New Roman" w:hAnsi="Times New Roman" w:eastAsia="Times New Roman" w:cs="Times New Roman"/>
        </w:rPr>
        <w:t>Падидаи қавме, ки мешунаванд, вале намешунаванд, ва мебинанд, аммо намебинанд, нишонаи қавми пешини Худост, ки дар ҳоли канор гузошта шудананд. Он падидаи нубувватӣ иҷрои пешгӯии Ишаъё дар бораи чунин вазъият аст. Чунон ки дар мавриди ҳамаи анбиёст, Ишаъё низ ҳамроҳ бо Масеҳ дар бораи айёми охир сухан мегӯяд.</w:t>
      </w:r>
    </w:p>
    <w:p>
      <w:pPr>
        <w:pStyle w:val="ArticleScripture"/>
        <w:jc w:val="left"/>
      </w:pPr>
      <w:r>
        <w:rPr>
          <w:rFonts w:ascii="Times New Roman" w:hAnsi="Times New Roman" w:eastAsia="Times New Roman" w:cs="Times New Roman"/>
        </w:rPr>
        <w:t>Дар соле ки подшоҳ Узиё мурд, ман низ Худовандро дидам, ки бар тахт нишаста буд, баланд ва боло бардошта; ва домани ҷомаи Ӯ маъбадро пур мекард. Болои он серафимҳо меистоданд: ҳар яке шаш бол дошт; бо ду бол рӯи худро мепӯшонид, бо ду бол пойҳои худро мепӯшонид, ва бо ду бол парвоз мекард. Ва яке ба дигаре нидо карда, мегуфт: Қуддус, қуддус, қуддус аст Худованди лашкарҳо; тамоми замин аз ҷалоли Ӯ пур аст. Ва остонаҳои дар аз овози он ки нидо мекард, ба ларза даромад, ва хона аз дуд пур шуд. Он гоҳ ман гуфтам: Вой бар ман! зеро ки ман ҳалок шудаам; чунки ман марде лабони нопок ҳастам, ва дар миёни қавме бо лабони нопок сукунат дорам; зеро чашмони ман Подшоҳро, Худованди лашкарҳоро, дидааст. Он гоҳ яке аз серафимҳо сӯи ман парвоз карда омад, дар дасташ ангишти тафсоне дошт, ки онро бо анбӯр аз қурбонгоҳ гирифта буд. Ва онро бар даҳони ман гузошта, гуфт: Инак, ин ба лабони ту расид; ва гуноҳи ту дур карда шуд, ва хатои ту пок гардид. Ва овози Худовандро шунидам, ки мегуфт: Киро бифиристам, ва кӣ барои Мо хоҳад рафт? Он гоҳ ман гуфтам: Инак ман ҳозирам; маро бифирист. Ва Ӯ гуфт: Бирав, ва ба ин қавм бигӯ: Шунавед, вале дарнаёбед; бубинед, вале дарк накунед. Дили ин қавмро фарбеҳ гардон, ва гӯшҳои онҳоро гарон кун, ва чашмҳои онҳоро бибанд; мабодо бо чашмҳои худ бубинанд, ва бо гӯшҳои худ бишнаванд, ва бо дили худ бифаҳманд, ва бозгашт намоянд, ва шифо ёбанд. Ишаъё 6:1–10.</w:t>
      </w:r>
    </w:p>
    <w:p>
      <w:pPr>
        <w:pStyle w:val="ArticleBody"/>
        <w:jc w:val="left"/>
      </w:pPr>
      <w:r>
        <w:rPr>
          <w:rFonts w:ascii="Times New Roman" w:hAnsi="Times New Roman" w:eastAsia="Times New Roman" w:cs="Times New Roman"/>
        </w:rPr>
        <w:t>Ишаъё, Ҳизқиёл ва Масеҳ ҳамагӣ намояндаи касоне мебошанд, ки дар рӯзҳои охир, дар айёми борони охирин, мӯҳр зада мешаванд, ҳангоме ки паёми ҳақиқӣ ва бардурӯғи борони охирин, дар иҷрои Ҳабаққуқ боби ду, мавриди баҳс қарор дорад. Ба гуфтаи Исо, дар он давраи замоне ки ин иҷро мегардад, одилон тамсилотро «мебинанд», ки ин рамзи нубувват аст. «Хирадмандон» паёми нубувватии борони охиринро мефаҳманд, аммо онҳое ки бо яҳудиёни баҳсҷӯй намояндагӣ мешаванд, намебинанд ва намешунаванд, ва мувофиқи гуфтаи Ҳизқиёл онҳо паёми сулҳ ва амниятро пеш меоранд ва баҳс мекунанд, ки иҷрои пешгӯиҳо дар ояндаи дур воқеъ хоҳад шуд. Онҳо пешгӯиҳоро инкор намекунанд; яҳудиёни баҳсҷӯй ба пешгӯии омадани Масеҳ танҳо бо лаб эътироф менамуданд; вале онҳо фақат ин воқеаро ба ояндаи бисёр дур нисбат медоданд. Аммо Исо бар онҳое баракат эълон намуд, ки паёми нубувватии замони худро «мебинанд».</w:t>
      </w:r>
    </w:p>
    <w:p>
      <w:pPr>
        <w:pStyle w:val="ArticleBody"/>
        <w:jc w:val="left"/>
      </w:pPr>
      <w:r>
        <w:rPr>
          <w:rFonts w:ascii="Times New Roman" w:hAnsi="Times New Roman" w:eastAsia="Times New Roman" w:cs="Times New Roman"/>
        </w:rPr>
        <w:t>Дар рӯзҳои Масеҳ ин паёме буд, ки ҳангоми таъмиди Ӯ расид, вақте ки Рӯҳулқудс нозил шуд. Нузули Рӯҳулқудс ҳангоми таъмиди Ӯ нузули фариштаи Ваҳй боби даҳро дар 11 августи соли 1840 пешнамоӣ мекард. Нузули илоҳӣ дар ҳар яке аз ин ду таърих фарорасии паёми ҳақиқати ҳозираи он замонро нишон медод: барои Исо, он паёми марг ва эҳёи Ӯ буд, чунон ки таъмиди Ӯ онро таҷассум мекард. Барои миллеритҳо, он паёми Ислом дар бораи войи аввал ва дуюм буд, ки паёми имтиҳонии пешгӯии замонро тасдиқ мекард. Ҳар дуи ин таърихҳо бо фарорасии паёми имтиҳонии борони охирин дар 11 сентябри соли 2001 мувофиқат мекунанд. Аз ҳамин сабаб аст, ки хоҳар Уайт чунин сабт мекунад:</w:t>
      </w:r>
    </w:p>
    <w:p>
      <w:pPr>
        <w:pStyle w:val="ArticleScripture"/>
        <w:jc w:val="left"/>
      </w:pPr>
      <w:r>
        <w:rPr>
          <w:rFonts w:ascii="Times New Roman" w:hAnsi="Times New Roman" w:eastAsia="Times New Roman" w:cs="Times New Roman"/>
        </w:rPr>
        <w:t>«Ҳамаи паёмҳое, ки аз солҳои 1840–1844 дода шудаанд, бояд ҳоло бо қувват баён карда шаванд, зеро одамони бисёре ҳастанд, ки самти худро гум кардаанд. Ин паёмҳо бояд ба ҳамаи калисоҳо расонида шаванд.</w:t>
      </w:r>
    </w:p>
    <w:p>
      <w:pPr>
        <w:pStyle w:val="ArticleScripture"/>
        <w:jc w:val="left"/>
      </w:pPr>
      <w:r>
        <w:rPr>
          <w:rFonts w:ascii="Times New Roman" w:hAnsi="Times New Roman" w:eastAsia="Times New Roman" w:cs="Times New Roman"/>
        </w:rPr>
        <w:t>Масеҳ гуфт: “Хушо чашмони шумо, зеро онҳо мебинанд; ва гӯшҳои шумо, зеро онҳо мешунаванд. Зеро ба ростӣ ба шумо мегӯям, ки бисёр анбиё ва одилон орзу доштанд, ки он чиро шумо мебинед, бубинанд, вале надиданд; ва он чиро шумо мешунавед, бишнаванд, вале нашуниданд” [Матто 13:16, 17]. Хушо он чашмоне, ки он чизҳоро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ин паём набояд ҳеҷ таъхир бошад, зеро аломатҳои замон иҷро шуда истодаанд; кори анҷомдиҳанда бояд ба ҷо оварда шавад. Кори бузурге дар муддати кӯтоҳ анҷом хоҳад ёфт. Ба таъйини Худо ба зудӣ паёме дода хоҳад шуд, ки ба нидои баланде мубаддал хоҳад гашт. Он гоҳ Дониёл дар қисми худ хоҳад истод, то шаҳодати худро диҳад.</w:t>
      </w:r>
    </w:p>
    <w:p>
      <w:pPr>
        <w:pStyle w:val="ArticleScripture"/>
        <w:jc w:val="left"/>
      </w:pPr>
      <w:r>
        <w:rPr>
          <w:rFonts w:ascii="Times New Roman" w:hAnsi="Times New Roman" w:eastAsia="Times New Roman" w:cs="Times New Roman"/>
        </w:rPr>
        <w:t>«Диққати калисоҳои мо бояд бедор карда шавад. Мо бар лаби бузургтарин рӯйдоди таърихи ҷаҳон истодаем, ва набояд шайтон бар қавми Худо қудрате дошта бошад, то онҳоро ба хоб равад. Папаият бо қудрати худ падид хоҳад омад. Ҳама бояд акнун бедор шуда, Навиштаҳоро таҳқиқ намоянд, зеро Худо ба содиқони Худ маълум хоҳад кард, ки дар замони охир чӣ хоҳад шуд. Каломи Худованд бояд бо қудрат ба назди қавми Ӯ биёяд....»</w:t>
      </w:r>
    </w:p>
    <w:p>
      <w:pPr>
        <w:pStyle w:val="ArticleScripture"/>
        <w:jc w:val="left"/>
      </w:pPr>
      <w:r>
        <w:rPr>
          <w:rFonts w:ascii="Times New Roman" w:hAnsi="Times New Roman" w:eastAsia="Times New Roman" w:cs="Times New Roman"/>
        </w:rPr>
        <w:t>«Ин аст он чи ба ман нишон дода шудааст, ки мо дар хобем ва вақти тафаққуди худро намедонем. Аммо агар мо худро дар ҳузури Худо фурӯтан созем ва Ӯро бо тамоми дил биҷӯем, Ӯ ба мо ёфт хоҳад шуд». Manuscript Releases, volume 21, 436–438.</w:t>
      </w:r>
    </w:p>
    <w:p>
      <w:pPr>
        <w:pStyle w:val="ArticleBody"/>
        <w:jc w:val="left"/>
      </w:pPr>
      <w:r>
        <w:rPr>
          <w:rFonts w:ascii="Times New Roman" w:hAnsi="Times New Roman" w:eastAsia="Times New Roman" w:cs="Times New Roman"/>
        </w:rPr>
        <w:t>Паёме, ки ба воситаи паёми ҳақиқати ҳозираи Масеҳ дар таърихи Масеҳ ва паёми ҳақиқати ҳозираи солҳои 1840 то 1844 намунавор нишон дода шудааст, ба рӯзҳои охир ишора мекунад, вақте ки паёми миллерӣ такрор мегардад. Онҳое, ки дар таърихҳо ҳамчун касоне тасвир шудаанд, ки наметавонанд «бинанд ва бишнаванд», «вақти тафаққуди худро намедонанд». Вақте Ишаъё аввалин ишораро ба паёмрасонони паёми қалбакии борони охирин, ки мебинанд, вале намебинанд, пеш меорад, ӯ вақти оғоз ёфтани ин давраро муайян мекунад, он давраеро, ки хоҳар Уайт гуфтааст: «паёме аз таъйиноти Худо, ки ба нидои баланд хоҳад расид». «Таъйиноти Худо» вақти муайянеро ифода мекунад, ки паём дар он мерасид, ва дар ояти сеюми боби шашуми Ишаъё, Ишаъё он вақтро дақиқ нишон медиҳад.</w:t>
      </w:r>
    </w:p>
    <w:p>
      <w:pPr>
        <w:pStyle w:val="ArticleScripture"/>
        <w:jc w:val="left"/>
      </w:pPr>
      <w:r>
        <w:rPr>
          <w:rFonts w:ascii="Times New Roman" w:hAnsi="Times New Roman" w:eastAsia="Times New Roman" w:cs="Times New Roman"/>
        </w:rPr>
        <w:t>Ва яке ба дигаре нидо карда, гуфт: «Қуддус, қуддус, қуддус аст Худованди лашкарҳо; тамоми замин аз ҷалоли Ӯ пур аст». Ишаъё 6:3.</w:t>
      </w:r>
    </w:p>
    <w:p>
      <w:pPr>
        <w:pStyle w:val="ArticleBody"/>
        <w:jc w:val="left"/>
      </w:pPr>
      <w:r>
        <w:rPr>
          <w:rFonts w:ascii="Times New Roman" w:hAnsi="Times New Roman" w:eastAsia="Times New Roman" w:cs="Times New Roman"/>
        </w:rPr>
        <w:t>Хоҳар Уайт муайян месозад, ки вақте фариштагон дар он порчае, ки Ишаъё касонеро тасвир мекунад, ки чашм доранд, мебинанд, вале намебинанд, ба якдигар нидо мекунанд: «Қуддус, Қуддус, Қуддус», он дар 11 сентябри соли 2001 иҷро мегардад.</w:t>
      </w:r>
    </w:p>
    <w:p>
      <w:pPr>
        <w:pStyle w:val="ArticleScripture"/>
        <w:jc w:val="left"/>
      </w:pPr>
      <w:r>
        <w:rPr>
          <w:rFonts w:ascii="Times New Roman" w:hAnsi="Times New Roman" w:eastAsia="Times New Roman" w:cs="Times New Roman"/>
        </w:rPr>
        <w:t>«Вақте ки онҳо [фариштагон] ояндаро мебинанд, замоне ки тамоми замин аз ҷалоли Ӯ пур хоҳад шуд, суруди зафарманди ситоиш бо нағмаи дилангез аз яке ба дигаре танин меандозад: “Қуддус, қуддус, қуддус аст Худованди лашкарҳо.” Онҳо аз ҷалол додани Худо комилан қаноатманданд; ва дар ҳузури Ӯ, зери табассуми ризомандии Ӯ, дигар ҳеҷ чизе бештар намехоҳанд. Дар бардоштани сурати Ӯ, дар анҷом додани хизмати Ӯ ва дар парастиши Ӯ, олии орзуву умеди онҳо ба таври комил ба даст омадааст.» Review and Herald, December 22, 1896.</w:t>
      </w:r>
    </w:p>
    <w:p>
      <w:pPr>
        <w:pStyle w:val="ArticleBody"/>
        <w:jc w:val="left"/>
      </w:pPr>
      <w:r>
        <w:rPr>
          <w:rFonts w:ascii="Times New Roman" w:hAnsi="Times New Roman" w:eastAsia="Times New Roman" w:cs="Times New Roman"/>
        </w:rPr>
        <w:t>Дар 11 сентябри соли 2001 муҳргузории яксаду чилу чаҳор ҳазор оғоз ёфт, ва борони охирин ба пошидан оғоз кард, ва баҳси Ҳабаққуқ оғоз ёфт, дар ҳоле ки масали даҳ бокира такрор мешуд. Дар он лаҳза нубуввати Ҳизқиёл ба камоли иҷрошавии худ расид. Каломи нубувватӣ дигар ба таъхир нахоҳад афтод, ва насле, ки 11 сентябри соли 2001-ро дид, охирин насли сайёраи замин аст, зеро рӯъё дар поёни Адвентизм баста шудани муҳлати озмоишро ҳангоми омадани дуюми Масеҳ эълон мекунад. Шоҳиди дуюми ин ҳақиқат дар Инҷили Луқо, боби бисту якум, ёфт мешавад.</w:t>
      </w:r>
    </w:p>
    <w:p>
      <w:pPr>
        <w:pStyle w:val="ArticleScripture"/>
        <w:jc w:val="left"/>
      </w:pPr>
      <w:r>
        <w:rPr>
          <w:rFonts w:ascii="Times New Roman" w:hAnsi="Times New Roman" w:eastAsia="Times New Roman" w:cs="Times New Roman"/>
        </w:rPr>
        <w:t>Ба ростӣ, ба шумо мегӯям: ин насл то вақте ки ҳамаи ин ба амал наояд, нахоҳад гузашт. Осмон ва замин хоҳанд гузашт, аммо суханони Ман ҳаргиз нахоҳанд гузашт. Луқо 21:32, 33.</w:t>
      </w:r>
    </w:p>
    <w:p>
      <w:pPr>
        <w:pStyle w:val="ArticleBody"/>
        <w:jc w:val="left"/>
      </w:pPr>
      <w:r>
        <w:rPr>
          <w:rFonts w:ascii="Times New Roman" w:hAnsi="Times New Roman" w:eastAsia="Times New Roman" w:cs="Times New Roman"/>
        </w:rPr>
        <w:t>Дар боби бисту якуми Луқо Исо насли охирини таърихи заминро муайян мекунад. Ӯ тоза шарҳи умумии як таърихи пайдарпайро аз вайроншавии Ерусалим дар соли 70 оғоз карда, то ба тамоми таърихи миллерӣ расонида буд. Сипас Ӯ аз ривояти муайянсозии мустақими таърихи нубувватӣ берун омада, масале пеш мегузорад, ки ҳамон таърихи нубувватиро, ки Ӯ баён карда буд, танҳо такрор ва тавсеа медиҳад. Ҳамин тавр Ӯ барои ҳамон ривоят ду шоҳиди дохилӣ фароҳам овард, ва дар анҷом бо муайян кардани он ки «насл»-е, ки шоҳиди ин рӯйдодҳо буд, то вақти бозгашти Ӯ зинда хоҳад монд, бо таваҷҷуҳ ба қарина, ҳамон наслеро муайян намуд, ки ба воситаи яксаду чилу чор ҳазор ифода шудааст.</w:t>
      </w:r>
    </w:p>
    <w:p>
      <w:pPr>
        <w:pStyle w:val="ArticleBody"/>
        <w:jc w:val="left"/>
      </w:pPr>
      <w:r>
        <w:rPr>
          <w:rFonts w:ascii="Times New Roman" w:hAnsi="Times New Roman" w:eastAsia="Times New Roman" w:cs="Times New Roman"/>
        </w:rPr>
        <w:t>Таърихи муҳр зада шудани яксаду чилу чор ҳазор ба насли охирин тааллуқ дорад, ва онҳо маргро намечашанд, ҳарчанд ки дар замоне зиндагӣ мекунанд, ки осмон ва замин мегузаранд.</w:t>
      </w:r>
    </w:p>
    <w:p>
      <w:pPr>
        <w:pStyle w:val="ArticleScripture"/>
        <w:jc w:val="left"/>
      </w:pPr>
      <w:r>
        <w:rPr>
          <w:rFonts w:ascii="Times New Roman" w:hAnsi="Times New Roman" w:eastAsia="Times New Roman" w:cs="Times New Roman"/>
        </w:rPr>
        <w:t>Лекин рӯзи Худованд, мисли дузд дар шаб, хоҳад омад; дар он рӯз осмонҳо бо ғулғулаи азим нобуд хоҳанд шуд, ва унсурҳо аз гармии сӯзон гудохта хоҳанд гашт, ва замин низ, ҳамроҳ бо ҳамаи корҳои дар он буда, сӯхта хоҳад шуд. Пас, азбаски ҳамаи ин чизҳо нобуд хоҳанд гардид, шумо бояд дар ҳар гуна рафтору кирдори муқаддас ва худотарсӣ чӣ гуна одамон бошед, дар ҳоле ки мунтазир ҳастед ва омадани рӯзи Худоро мешитобонед, ки дар он осмонҳои оташгирифта нобуд хоҳанд шуд ва унсурҳо аз гармии сӯзон гудохта хоҳанд гашт. 2 Петрус 3:10–12.</w:t>
      </w:r>
    </w:p>
    <w:p>
      <w:pPr>
        <w:pStyle w:val="ArticleBody"/>
        <w:jc w:val="left"/>
      </w:pPr>
      <w:r>
        <w:rPr>
          <w:rFonts w:ascii="Times New Roman" w:hAnsi="Times New Roman" w:eastAsia="Times New Roman" w:cs="Times New Roman"/>
        </w:rPr>
        <w:t>Бозомадани дуюми Масеҳ дар тағйирёбии сурати Масеҳ таҷассум ёфта буд.</w:t>
      </w:r>
    </w:p>
    <w:p>
      <w:pPr>
        <w:pStyle w:val="ArticleScripture"/>
        <w:jc w:val="left"/>
      </w:pPr>
      <w:r>
        <w:rPr>
          <w:rFonts w:ascii="Times New Roman" w:hAnsi="Times New Roman" w:eastAsia="Times New Roman" w:cs="Times New Roman"/>
        </w:rPr>
        <w:t>«Мӯсо бар кӯҳи таҷаллӣ шоҳиди ғалабаи Масеҳ бар гуноҳ ва мамот буд. Ӯ намояндаи онҳое буд, ки дар эҳёи одилон аз қабр берун хоҳанд омад. Илёс, ки бе дидани мамот ба осмон бурда шуда буд, намояндаи онҳое буд, ки ҳангоми омадани дуюми Масеҳ бар замин зинда хоҳанд буд ва “дар як лаҳза, дар як мижа задан, ҳангоми карнаи охирин” “дигаргун хоҳанд шуд”; вақте ки “ин фонӣ бояд либоси бақонопазирӣ бипӯшад” ва “ин фасодпазир бояд либоси бефасодӣ бипӯшад.” 1 Қӯринтиён 15:51–53. Исо ба нури осмон мупӯшид, чунон ки Ӯ зоҳир хоҳад шуд, ҳангоме ки “бори дуюм, на барои гуноҳ, балки барои наҷот” хоҳад омад. Зеро Ӯ “бо ҷалоли Падари Худ ва бо фариштагони муқаддас” хоҳад омад. Ибриён 9:28; Марқус 8:38. Акнун ваъдаи Наҷотдиҳанда ба шогирдон иҷро шуд. Бар кӯҳ подшоҳии ояндаи ҷалол ба сурати мухтасар ба намоиш дароварда шуд,—Масеҳ Подшоҳ, Мӯсо намояндаи муқаддасони эҳёшуда, ва Илёс намояндаи онҳое ки дигаргун карда шудаанд». Орзуи асрҳо, 421.</w:t>
      </w:r>
    </w:p>
    <w:p>
      <w:pPr>
        <w:pStyle w:val="ArticleBody"/>
        <w:jc w:val="left"/>
      </w:pPr>
      <w:r>
        <w:rPr>
          <w:rFonts w:ascii="Times New Roman" w:hAnsi="Times New Roman" w:eastAsia="Times New Roman" w:cs="Times New Roman"/>
        </w:rPr>
        <w:t>Илёс, ки намурд, он яксаду чиҳилу чаҳор ҳазор нафареро ифода мекунад, ки намемиранд, ва Мусо онҳоеро ифода мекунад, ки мемиранд. Дар рӯзҳои охир ин ду гурӯҳ дар Ваҳй, боби ҳафт, ҳамчун яксаду чиҳилу чаҳор ҳазор ва анбӯҳи бузург муаррифӣ шудаанд. Вақте ки мӯҳри панҷум дар Ваҳй, боби шаш, кушода мешавад, ба онҳое ки дар давраи Асрҳои Тира аз ҷониби папосият ба қатл расонида шуданд, ҷомаҳои сафед дода мешаванд.</w:t>
      </w:r>
    </w:p>
    <w:p>
      <w:pPr>
        <w:pStyle w:val="ArticleScripture"/>
        <w:jc w:val="left"/>
      </w:pPr>
      <w:r>
        <w:rPr>
          <w:rFonts w:ascii="Times New Roman" w:hAnsi="Times New Roman" w:eastAsia="Times New Roman" w:cs="Times New Roman"/>
        </w:rPr>
        <w:t>«“Ва ҳангоме ки Ӯ мӯҳри панҷумро кушод, ман зери қурбонгоҳ ҷонҳои онҳоеро дидам, ки барои каломи Худо ва барои шаҳодате ки доштанд, кушта шуда буданд; ва онҳо бо овози баланд нидо карда, мегуфтанд: То ба кай, эй Парвардигори муқаддас ва ҳақ, Ту доварӣ намекунӣ ва қасоси хуни моро аз сокинони замин намегирӣ? Ва ба ҳар яке аз онҳо ҷомаҳои сафед дода шуд [Онҳо пок ва муқаддас эълон карда шуданд]; ва ба онҳо гуфта шуд, ки боз андаке ором гиранд, то ҳамчунин ҳамхизматони онҳо ва бародарони онҳо, ки бояд мисли онҳо кушта шаванд, ба камол расанд» [Ваҳй 6:9–11]. Дар ин ҷо манзараҳое ба Юҳанно нишон дода шуданд, ки на воқеият буданд, балки он чизе буданд, ки дар давраи муайяни замони оянда ба вуқӯъ меомаданд». Manuscript Releases, ҷилди 20, 197.</w:t>
      </w:r>
    </w:p>
    <w:p>
      <w:pPr>
        <w:pStyle w:val="ArticleBody"/>
        <w:jc w:val="left"/>
      </w:pPr>
      <w:r>
        <w:rPr>
          <w:rFonts w:ascii="Times New Roman" w:hAnsi="Times New Roman" w:eastAsia="Times New Roman" w:cs="Times New Roman"/>
        </w:rPr>
        <w:t>Шаҳидон мепурсанд, ки кай Худо қасоси кушта шудани онҳоро хоҳад гирифт. Шаҳид пеш аз он ки кушта шавад, имони Исоро дошт, зеро маҳз зоҳир шудани ҳамон имон папагариро водор намуд, ки ӯро ба қатл расонад. Ҷомаҳои сафед адолати Масеҳро ифода мекунанд, аммо ҷомаҳои сафеде, ки ба ин ҷонҳое, ки кушта шуда буданд, дода шуданд, баъд аз шаҳодати онҳо ба онҳо дода шуданд. Ҷомаҳо рамзи шаҳодат мебошанд, на танҳо адолати Масеҳ. Шаҳид пеш аз он ки кушта шавад, ҷомаи адолати Масеҳро дорад. Ба анбӯҳи бузурге, ки дар Ваҳй боби ҳафт зикр шудааст, ҷомаҳои сафед дода мешаванд, ва ба ин васила онҳое ифода меёбанд, ки дар ҷараёни хунрезии ояндаи қонуни якшанбе мемиранд. Пас, саду чилу чаҳор ҳазор бо Илёс ифода меёбанд, ва мӯъминоне, ки дар Худованд мемиранд, бо Мусо бар кӯҳи тағйири сурат.</w:t>
      </w:r>
    </w:p>
    <w:p>
      <w:pPr>
        <w:pStyle w:val="ArticleBody"/>
        <w:jc w:val="left"/>
      </w:pPr>
      <w:r>
        <w:rPr>
          <w:rFonts w:ascii="Times New Roman" w:hAnsi="Times New Roman" w:eastAsia="Times New Roman" w:cs="Times New Roman"/>
        </w:rPr>
        <w:t>Яксаду чилу чаҳор ҳазор он насле ҳастанд, ки намемиранд, ва онҳо ҳамон насле мебошанд, ки Масеҳ дар бораи онҳо сухан мегӯяд, ки ҳангоми гузаштани осмонҳову замин зиндаанд, дар Луқо, боби бисту як.</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«Қотилшавии Ҳобил нахустин намунаи он адоват буд, ки Худо эълон карда буд, ки миёни мор ва насли зан — миёни Шайтон ва тобеони ӯ ва Масеҳ ва пайравони Ӯ — вуҷуд хоҳад дошт. Ба воситаи гуноҳи инсон, Шайтон бар насли башар ҳукмронӣ ба даст оварда буд; аммо Масеҳ ба онҳо имконият медод, ки юғи ӯро аз гардани худ дур андозанд. Ҳар гоҳе ки ҷоне, ба воситаи имон ба Барраи Худо, аз хизмати гуноҳ даст мекашад, ғазаби Шайтон аланга мезанад. Зиндагии муқаддаси Ҳобил бар зидди даъвои Шайтон шаҳодат медод, ки гӯё барои инсон риоя кардани қонуни Худо ғайримумкин бошад. Вақте Қобил, ки аз рӯҳи он шарир ба ҳаракат оварда шуда буд, дид, ки Ҳобилро зери тасарруфи худ дароварда наметавонад, чунон ба хашм омад, ки ҳаёти ӯро аз байн бурд. Ва ҳар ҷо, ки касоне пайдо шаванд, ки барои сафед кардани адолати қонуни Худо устувор биистанд, ҳамон рӯҳ бар зидди онҳо зоҳир хоҳад шуд. Ин ҳамон рӯҳест, ки дар тӯли ҳамаи асрҳо барои шогирдони Масеҳ сутунҳои эъдом барпо карда ва гулханҳои сӯзон афрӯхтааст. Аммо он бераҳмиҳое, ки бар пайрави Исо фурӯ рехта мешаванд, аз ҷониби Шайтон ва лашкарҳои ӯ барангехта мешаванд, зеро онҳо наметавонанд ӯро маҷбур созанд, ки ба тасарруфи онҳо итоат намояд. Ин хашми душмани мағлубшуда аст. Ҳар шаҳиди Исо ҳамчун ғолиб ҷон супурдааст. Пайғамбар мегӯяд: «Онҳо бар ӯ [“он мори қадимӣ, ки Иблис ва Шайтон номида мешавад”] бо хуни Барра ва бо каломи шаҳодати худ ғолиб омаданд; ва ҷони худро то ба марг дӯст надоштанд». Ваҳй 12:11, 9». Патриархҳо ва анбиё,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чордаҳум</dc:title>
  <dc:subject>Насли охирин: ошкор сохтани иҷрои нубувватии Ҳизқиёл ва мӯҳргузории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