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понздаҳум</w:t>
      </w:r>
    </w:p>
    <w:p>
      <w:pPr>
        <w:pStyle w:val="ArticleSubtitle"/>
        <w:jc w:val="left"/>
      </w:pPr>
      <w:r>
        <w:rPr>
          <w:rFonts w:ascii="Arial" w:hAnsi="Arial" w:eastAsia="Arial" w:cs="Arial"/>
        </w:rPr>
        <w:t>Ошкор сохтани хусусиятҳои нубувватии насли охирин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Дар насли ниҳоии қавме, ки аз канор гузаронида мешаванд, баъзе хусусиятҳои нубувватӣ муайян карда мешаванд. Пас онҳо насли афъиёнанд, зеро хислати Шайтонро дар худ ташаккул додаанд. Онҳо насли зинокоронанд, зеро бо душманони Худо пайвандҳои ғайримуқаддас барқарор кардаанд. Онҳо ба дараҷае расидаанд, ки мебинанд, вале наметавонанд бифаҳманд; мешунаванд, вале наметавонанд дарк намоянд, зеро онҳо тағйири қалб наёфтаанд, ки ин ба фарбеҳ шудани дилҳои онҳо ташбеҳ дода мешавад. Мусо нахуст маҳз ба ҳамин падида муроҷиат кардааст.</w:t>
      </w:r>
    </w:p>
    <w:p>
      <w:pPr>
        <w:pStyle w:val="ArticleScripture"/>
        <w:jc w:val="left"/>
      </w:pPr>
      <w:r>
        <w:rPr>
          <w:rFonts w:ascii="Times New Roman" w:hAnsi="Times New Roman" w:eastAsia="Times New Roman" w:cs="Times New Roman"/>
        </w:rPr>
        <w:t>Ва Мусо тамоми Исроилро даъват намуда, ба онҳо гуфт: «Шумо ҳар он чиро, ки Худованд пеши чашмони шумо дар замини Миср ба фиръавн, ва ба ҳамаи бандагонаш, ва ба тамоми замини ӯ ба амал овард, дидаед; он озмоишҳои бузургеро, ки чашмони ту дидаанд, он оятҳо ва он мӯъҷизаҳои азимро. Аммо Худованд то имрӯз ба шумо диле барои дарк кардан, ва чашмоне барои дидан, ва гӯшҳое барои шунидан надодааст». Такрори Шариат 29:2–4.</w:t>
      </w:r>
    </w:p>
    <w:p>
      <w:pPr>
        <w:pStyle w:val="ArticleBody"/>
        <w:jc w:val="left"/>
      </w:pPr>
      <w:r>
        <w:rPr>
          <w:rFonts w:ascii="Times New Roman" w:hAnsi="Times New Roman" w:eastAsia="Times New Roman" w:cs="Times New Roman"/>
        </w:rPr>
        <w:t>Дар нахустин ёдкарди падидаи Лаодикиягии дидан ва шунидан, он чизе ки қавми Худо қодир нестанд бубинанд, аломатҳо ва мӯъҷизаҳои таърихи бунёдии онҳост. Ирмиё ин падидаро ҳамчун сифати «бокираҳои нодон» дар рӯзҳои охир муайян мекунад ва ҳамчун намояндагии сарпечии бокираҳои нодон аз пазируфтани паёмҳои се фаришта, ки аз эълони фариштаи аввал — тарсидан аз Худои Офаридгор — оғоз меёбад. Ба сабаби ин исён, онҳо борони дерро дарёфт намекунанд.</w:t>
      </w:r>
    </w:p>
    <w:p>
      <w:pPr>
        <w:pStyle w:val="ArticleScripture"/>
        <w:jc w:val="left"/>
      </w:pPr>
      <w:r>
        <w:rPr>
          <w:rFonts w:ascii="Times New Roman" w:hAnsi="Times New Roman" w:eastAsia="Times New Roman" w:cs="Times New Roman"/>
        </w:rPr>
        <w:t>Инро дар хонаи Яъқуб эълон кунед, ва онро дар Яҳудо мунташир созед, гуфта: Акнун инро бишнавед, эй қавми аҳмақ ва бефаҳм, ки чашм доранд, вале намебинанд; гӯш доранд, вале намешунаванд: Оё аз Ман наметарсед? мегӯяд Худованд; оё аз ҳузури Ман ба ларза намеоед, Ман, ки регро ба ҳукми ҷовидонӣ ҳадди баҳр қарор додаам, то аз он нагузарад? Ва агарчи мавҷҳои он ба талотум оянд, наметавонанд ғолиб шаванд; агарчи ғурриш кунанд, аз он гузашта наметавонанд. Аммо ин қавм диле саркаш ва осӣ дорад; онҳо саркашӣ карданд ва рафтанд. Ва дар дили худ намегӯянд: «Акнун аз Худованд Худои худ битарсем, ки борон медиҳад, ҳам борони аввал ва ҳам борони охирро дар мавсими он; ва ҳафтаҳои муқарраршудаи даравро барои мо нигоҳ медорад». Гуноҳҳои шумо ин чизҳоро баргардондаанд, ва хатоҳояшон неъматҳоро аз шумо боздоштаанд. Ирмиё 5:20–25.</w:t>
      </w:r>
    </w:p>
    <w:p>
      <w:pPr>
        <w:pStyle w:val="ArticleBody"/>
        <w:jc w:val="left"/>
      </w:pPr>
      <w:r>
        <w:rPr>
          <w:rFonts w:ascii="Times New Roman" w:hAnsi="Times New Roman" w:eastAsia="Times New Roman" w:cs="Times New Roman"/>
        </w:rPr>
        <w:t>Ҳизқиёл касонеро, ки хусусиятҳои бо «мебинанд, вале намефаҳманд» ифодаёфтаро зоҳир месозанд, хонадони исёнкор мешиносад. Онҳо хонадони исёнкоре ҳастанд, ки таърихи пояҳои худро нахоҳанд дид; онҳо бокираҳои аблаҳанд, ки тавба накардаанд, зеро паёми фариштаи аввалро рад мекунанд, ва ин ба маънои рад кардани ҳамаи онҳост, зеро агар паёми фариштаи аввалро напазиред, наметавонед паёми дувумро ва на савумро бипазиред. Дар ин ҳолат, борони охирин аз ин бокираҳо дар замони борони охирин нигоҳ дошта мешавад. Баъд аз он ки Исо ин хусусиятро дар ривояти Худ матраҳ кард, Ӯ сипас ба баёни масали кошанда пардохт.</w:t>
      </w:r>
    </w:p>
    <w:p>
      <w:pPr>
        <w:pStyle w:val="ArticleScripture"/>
        <w:jc w:val="left"/>
      </w:pPr>
      <w:r>
        <w:rPr>
          <w:rFonts w:ascii="Times New Roman" w:hAnsi="Times New Roman" w:eastAsia="Times New Roman" w:cs="Times New Roman"/>
        </w:rPr>
        <w:t>Аммо чашмони шумо мубораканд, зеро мебинанд; ва гӯшҳои шумо низ, зеро мешунаванд. Зеро ба ростӣ ба шумо мегӯям, ки бисёр анбиё ва одилон орзу доштанд он чиро, ки шумо мебинед, бубинанд, вале надиданд; ва он чиро, ки шумо мешунавед, бишнаванд, вале нашуниданд. Пас, шумо масали корандаро бишнавед. Ҳар кӣ каломи Малакутро мешунавад ва онро намефаҳмад, он шарир меояд ва он чиро, ки дар дили вай кошта шуда буд, мерабояд. Ин ҳамон касест, ки тухмӣ дар канори роҳ қабул кардааст. Ва он ки тухмиро дар ҷойҳои санглох қабул кард, ҳамон касест, ки каломро мешунавад ва дарҳол онро бо шодӣ қабул мекунад; аммо дар худ реша надорад, балки то муддате пойдор мемонад; ва чун ба сабаби калом мусибат ё таъқиб бархезад, дарҳол ба васваса меафтад. Ва он ки тухмиро миёни хорҳо қабул кард, ҳамон касест, ки каломро мешунавад; вале ғами ин ҷаҳон ва фиреби сарват каломро буғӣ мекунад, ва ӯ бесамар мегардад. Аммо он ки тухмиро дар замини нек қабул кард, ҳамон касест, ки каломро мешунавад ва онро мефаҳмад; ва самар низ меоварад: яке садкарата, дигаре шасткарата, ва дигаре сӣкарата. Ва масали дигаре ба онҳо оварда, гуфт: Малакути Осмон ба марде монанд аст, ки дар киштзори худ тухмии нек кошт. Аммо вақте мардум хоб буданд, душмани ӯ омада, миёни гандум мастак кошт ва рафт. Вале чун майса рӯид ва самар овард, он гоҳ мастак низ пайдо шуд. Пас ғуломони соҳиби хона омада, ба ӯ гуфтанд: Эй хоҷа, магар ту дар киштзори худ тухмии нек накошта будӣ? Пас, мастак аз куҷо омад? Ба онҳо гуфт: Инро душмане кардааст. Ғуломон ба ӯ гуфтанд: Пас мехоҳӣ, ки биравем ва онҳоро ҷамъ кунем? Аммо ӯ гуфт: Не; мабодо ҳангоми ҷамъ кардани мастак, гандумро ҳам бо он решакан кунед. Бигзор ҳар ду то вақти дарав якҷо нашъунамо ёбанд; ва дар вақти дарав ба даравгарон хоҳам гуфт: Аввал мастакро ҷамъ кунед ва ба бастаҳо бибандед, то сӯзонда шавад; аммо гандумро дар анбори ман ҷамъ оваред. Матто 13:16–30.</w:t>
      </w:r>
    </w:p>
    <w:p>
      <w:pPr>
        <w:pStyle w:val="ArticleBody"/>
        <w:jc w:val="left"/>
      </w:pPr>
      <w:r>
        <w:rPr>
          <w:rFonts w:ascii="Times New Roman" w:hAnsi="Times New Roman" w:eastAsia="Times New Roman" w:cs="Times New Roman"/>
        </w:rPr>
        <w:t>Нодонон кӯкнор ҳастанд, ва доноён гандум. Дар масали даҳ бокира, доштани равған он чизест, ки фарқи байни ин ду табақаро зоҳир мекунад; ва дар мавриди гандум ва кӯкнор, ин бар он асос ёфтааст, ки оё тухмӣ, ки калом аст, фаҳмида мешавад ё не. Аввалин ёдоварии табақае, ки ба гуфтаи Мӯсо нахоҳад дид ва бинобар ин нахоҳад фаҳмид, паёмеро, ки бояд фаҳмида шавад, ҳамчун аломатҳо ва мӯъҷизоти таърихи бунёдӣ қарор медиҳад. Охирин ишораи нубувватӣ ба унсурҳои кӯрии хонаи исёнгар аз ҷониби Эллен Уайт муайян мекунад, ки он чашмоне, ки муборак буданд, то бубинанд он чиро, ки ҳамаи мардони одил орзуи диданашро доштанд, таърихи ҳаракати Миллерӣ буд.</w:t>
      </w:r>
    </w:p>
    <w:p>
      <w:pPr>
        <w:pStyle w:val="ArticleScripture"/>
        <w:jc w:val="left"/>
      </w:pPr>
      <w:r>
        <w:rPr>
          <w:rFonts w:ascii="Times New Roman" w:hAnsi="Times New Roman" w:eastAsia="Times New Roman" w:cs="Times New Roman"/>
        </w:rPr>
        <w:t>«Ҳамаи паёмҳое, ки аз солҳои 1840–1844 дода шудаанд, акнун бояд бо қувват баён карда шаванд, зеро одамони бисёре роҳнамои худро гум кардаанд. Ин паёмҳо бояд ба ҳамаи калисоҳо расонда шаванд.»</w:t>
      </w:r>
    </w:p>
    <w:p>
      <w:pPr>
        <w:pStyle w:val="ArticleScripture"/>
        <w:jc w:val="left"/>
      </w:pPr>
      <w:r>
        <w:rPr>
          <w:rFonts w:ascii="Times New Roman" w:hAnsi="Times New Roman" w:eastAsia="Times New Roman" w:cs="Times New Roman"/>
        </w:rPr>
        <w:t>«Масеҳ гуфт: “Хушо чашмони шумо, зеро ки мебинанд; ва гӯшҳои шумо, зеро ки мешунаванд. Зеро ба ростӣ ба шумо мегӯям, ки бисёр анбиё ва одилон орзу доштанд он чиро, ки шумо мебинед, бубинанд, вале надиданд; ва он чиро, ки шумо мешунавед, бишнаванд, вале нашуниданд” [Матто 13:16, 17]. Хушо чашмоне, ки он чиро, ки дар солҳои 1843 ва 1844 дида шуд, диданд». Manuscript Releases, ҷилди 21, 436, 437.</w:t>
      </w:r>
    </w:p>
    <w:p>
      <w:pPr>
        <w:pStyle w:val="ArticleBody"/>
        <w:jc w:val="left"/>
      </w:pPr>
      <w:r>
        <w:rPr>
          <w:rFonts w:ascii="Times New Roman" w:hAnsi="Times New Roman" w:eastAsia="Times New Roman" w:cs="Times New Roman"/>
        </w:rPr>
        <w:t>Исо ҳамеша анҷомро бо ибтидо нишон медиҳад, ва аввалин ишора дар бораи онҳое ки чашм доранд, вале намебинанд ё намефаҳманд, ва охирин ишора муайян месозад, ки таърихи бунёдии хонаи исёнгар он чизест, ки дида намешавад, ва бинобар ин рад карда мешавад, ва ба ин васила аблаҳонро аз шинохтани борони охир бозмедорад. Таърихи солҳои 1840–1844 ба воситаи раҳоии Исроили қадим аз асорати Миср пешнамуна гардида буд. Нокомии Исроили қадим дар гузаштан аз раванди ибтидоии озмоиш онҳоро ба Қодеш овард, ки дар он ҷо онҳо хабари дурӯғини даҳ ҷосусро пазируфтанд ва сарвари наверо интихоб карданд, то онҳоро боз ба Миср баргардонад. Чиҳил сол баъд онҳо боз ба Қодеш оварда шуданд, ва Мусо бо он ки Бухраро бори дуюм зад, ноком гардид.</w:t>
      </w:r>
    </w:p>
    <w:p>
      <w:pPr>
        <w:pStyle w:val="ArticleBody"/>
        <w:jc w:val="left"/>
      </w:pPr>
      <w:r>
        <w:rPr>
          <w:rFonts w:ascii="Times New Roman" w:hAnsi="Times New Roman" w:eastAsia="Times New Roman" w:cs="Times New Roman"/>
        </w:rPr>
        <w:t>Гарчанд Мусо ноком монд, Юшаъ ҳамоно пеш рафт, то онҳоро ба Замини Мавъуд дарорад. Озмоиши охирин дар Қодеш бо исёни ҷиддие ҳамроҳ буд, зеро Исо ҳамеша анҷомро бо ибтидо нишон медиҳад, ва исёни даҳ ҷосус дар Қодеш дар оғози чиҳил сол, инчунин дар анҷоми чиҳил сол низ исёни бузургеро дар Қодеш нишон медиҳад. Бо вуҷуди исёни Мусо дар Қодеш, рӯъёи дохил шудан ба Замини Мавъуд дигар ба таъхир андохта нашуд.</w:t>
      </w:r>
    </w:p>
    <w:p>
      <w:pPr>
        <w:pStyle w:val="ArticleBody"/>
        <w:jc w:val="left"/>
      </w:pPr>
      <w:r>
        <w:rPr>
          <w:rFonts w:ascii="Times New Roman" w:hAnsi="Times New Roman" w:eastAsia="Times New Roman" w:cs="Times New Roman"/>
        </w:rPr>
        <w:t>Дар исёни соли 1863, ки ба исёни бештари соли 1888 оварда расонд, ки он низ ба исёни бештари соли 1919 бурд, ва ниҳоят дар исёни соли 1957 ба авҷи худ расид, Исо Адвентизми Лаодикиягиро боз ба Қодеш баргардонд. Ӯ онҳоро ба он таърихе баргардонд, ки дар он фариштаи сеюм омад ва раванди озмоишеро оғоз намуд, ки дар ниҳоят исёни соли 1863 ва рондашавӣ ба саргардонӣ дар биёбони Лаодикияро ошкор сохт. Фариштаи сеюм ба таърихи поёнии Адвентизми Лаодикиягӣ дар 11 сентябри соли 2001 ворид шуд, вақте ки фариштаи қавии Ваҳйи боби ҳаждаҳ, ки ҳамон фариштаи сеюм аст, нузул кард. Сипас ӯ эълон намуд, ки Бобил суқут кардааст, чунон ки ин дар сарнагун гардидани бурҷи Намруд рамзӣ шудааст, ҳангоме ки бурҷҳои шаҳри Ню-Йорк фурӯ оварда шуданд.</w:t>
      </w:r>
    </w:p>
    <w:p>
      <w:pPr>
        <w:pStyle w:val="ArticleScripture"/>
        <w:jc w:val="left"/>
      </w:pPr>
      <w:r>
        <w:rPr>
          <w:rFonts w:ascii="Times New Roman" w:hAnsi="Times New Roman" w:eastAsia="Times New Roman" w:cs="Times New Roman"/>
        </w:rPr>
        <w:t>«Паёми фариштаи сеюм дарк нахоҳад шуд, ва нуре, ки заминро бо ҷалоли худ равшан хоҳад кард, аз ҷониби онҳое ки аз роҳ рафтан дар ҷалоли афзояндаи он сарпечӣ мекунанд, нури козиб хонда хоҳад шуд». Review and Herald, May 27, 1890.</w:t>
      </w:r>
    </w:p>
    <w:p>
      <w:pPr>
        <w:pStyle w:val="ArticleBody"/>
        <w:jc w:val="left"/>
      </w:pPr>
      <w:r>
        <w:rPr>
          <w:rFonts w:ascii="Times New Roman" w:hAnsi="Times New Roman" w:eastAsia="Times New Roman" w:cs="Times New Roman"/>
        </w:rPr>
        <w:t>Чунон ки бо Исроили қадим буд, ҳамон тавр бо Исроили муосир низ ҳаст. Насле, ки 11 сентябри соли 2001-ро мушоҳида мекунад, насли охирин аст. Исо дар боби бисту якуми Инҷили Луқо гуфт, ки «ин насл», ва Ӯ он наслро ҳамчун касоне муайян кард, ки дар замоне зиндагӣ мекунанд, ки осмону замин гузар хоҳанд кард, ки ин ҳангоми Бозгашти Дуюм рӯй медиҳад. Он насл, ки то шоҳиди бозгашти Масеҳ шудан зиндагӣ мекунад, нишонаеро хоҳад шинохт, ки барояшон исбот мекунад, ки онҳо насли ниҳоӣ ҳастанд. Онҳо хоҳанд донист ва хоҳанд фаҳмид, ки онҳо ҳамон касоне ҳастанд, ки дар замоне зиндагӣ мекунанд, ки «таъсири ҳар рӯъё» дигар «ба таъхир андохта намешавад».</w:t>
      </w:r>
    </w:p>
    <w:p>
      <w:pPr>
        <w:pStyle w:val="ArticleBody"/>
        <w:jc w:val="left"/>
      </w:pPr>
      <w:r>
        <w:rPr>
          <w:rFonts w:ascii="Times New Roman" w:hAnsi="Times New Roman" w:eastAsia="Times New Roman" w:cs="Times New Roman"/>
        </w:rPr>
        <w:t>Вақте ки Исо ҳамроҳи шогирдонаш аз маъбад берун мерафт, онҳо аз Ӯ пурсиданд, ки маънои суханони Ӯ дар бораи вайроншавии маъбадро барояшон баён кунад. Он гуфтугӯ намунаи он гуфтугӯе буд, ки шогирдони Ӯ дар насли охирин хоҳанд дошт. Шогирдон мехостанд бифаҳманд, ки Ӯ аз чӣ маъно дошт, вақте ки борҳо таълим дода буд, ки калисои адвентистии Лоудикия бояд ҳангоми қонуни якшанбеи наздик фарооянда рӯфта нобуд гардад, зеро парастандагони он аз даҳони Ӯ қай карда берун андохта мешаванд ва дигар онҳое нестанд, ки аз номи Ӯ сухан мегӯянд.</w:t>
      </w:r>
    </w:p>
    <w:p>
      <w:pPr>
        <w:pStyle w:val="ArticleBody"/>
        <w:jc w:val="left"/>
      </w:pPr>
      <w:r>
        <w:rPr>
          <w:rFonts w:ascii="Times New Roman" w:hAnsi="Times New Roman" w:eastAsia="Times New Roman" w:cs="Times New Roman"/>
        </w:rPr>
        <w:t>Ҳангоми ҷавоб додан ба шогирдон, Исо вайроншавии Ерусалим ва таърихи баъд аз онро, то ба охири ҷаҳон расидан, тасвир намуд. Пас аз он ки то ояти нуздаҳум шарҳи умумии таърихиро баён кард, Ӯ баъдан ба вайроншавии Ерусалим муроҷиат мекунад — вайроншавие, ки метавонист ҳангоми салиб рӯй диҳад, аммо ба сабаби раҳмат ва пурсабрии Худо тақрибан чиҳил сол ба таъхир андохта шуд. Дар анҷоми он чиҳил сол бақияе хоҳад буд, ки аз он вайроншавӣ наҷот хоҳад ёфт, аммо фақат дар сурате ки он нишонаеро, ки Ӯ он гоҳ дод, бишиносад.</w:t>
      </w:r>
    </w:p>
    <w:p>
      <w:pPr>
        <w:pStyle w:val="ArticleBody"/>
        <w:jc w:val="left"/>
      </w:pPr>
      <w:r>
        <w:rPr>
          <w:rFonts w:ascii="Times New Roman" w:hAnsi="Times New Roman" w:eastAsia="Times New Roman" w:cs="Times New Roman"/>
        </w:rPr>
        <w:t>Дар ибтидои Исроили қадим давраи чиҳилсолае вуҷуд дошт, ки бо доварӣ бар исёни даҳ ҷосус оғоз ёфт; доварие, ки ба сабаби шафоати Мусо ба муддати чиҳил сол ба таъхир афтод. Дар охири Исроили қадим низ доварие бар исёни салиб буд, ки ба сабаби пурсабрӣ ва раҳмати Масеҳ ба муддати чиҳил сол ба таъхир афтод. Дар ҳар ду таърих бақияе буд, ки наҷот ёфт. Исо ҳамеша анҷоми чизеро бо ибтидои чизе тасвир мекунад.</w:t>
      </w:r>
    </w:p>
    <w:p>
      <w:pPr>
        <w:pStyle w:val="ArticleBody"/>
        <w:jc w:val="left"/>
      </w:pPr>
      <w:r>
        <w:rPr>
          <w:rFonts w:ascii="Times New Roman" w:hAnsi="Times New Roman" w:eastAsia="Times New Roman" w:cs="Times New Roman"/>
        </w:rPr>
        <w:t>Исо ба аломате, ки бо вайроншавии Ерусалим вобаста буд, муроҷиат намуда, онро «рӯзҳои интиқом» номид.</w:t>
      </w:r>
    </w:p>
    <w:p>
      <w:pPr>
        <w:pStyle w:val="ArticleScripture"/>
        <w:jc w:val="left"/>
      </w:pPr>
      <w:r>
        <w:rPr>
          <w:rFonts w:ascii="Times New Roman" w:hAnsi="Times New Roman" w:eastAsia="Times New Roman" w:cs="Times New Roman"/>
        </w:rPr>
        <w:t>Ва ҳангоме ки Ерусалимро аз ҳар сӯ бо лашкарҳо иҳотаёфта бинед, он гоҳ бидонед, ки харобии он наздик аст. Он вақт онҳое ки дар Яҳудоия ҳастанд, бигрезанд ба кӯҳҳо; ва онҳое ки дар миёни он ҳастанд, берун раванд; ва онҳое ки дар ноҳияҳо ҳастанд, ба он дохил нашаванд. Зеро инҳо рӯзҳои интиқоманд, то ҳамаи он чи навишта шудааст, ба амал ояд. Луқо 21:20–22.</w:t>
      </w:r>
    </w:p>
    <w:p>
      <w:pPr>
        <w:pStyle w:val="ArticleBody"/>
        <w:jc w:val="left"/>
      </w:pPr>
      <w:r>
        <w:rPr>
          <w:rFonts w:ascii="Times New Roman" w:hAnsi="Times New Roman" w:eastAsia="Times New Roman" w:cs="Times New Roman"/>
        </w:rPr>
        <w:t>«Рӯзи интиқом» ҳамон ҳафт балои охирин аст, ва ба ҳамин сабаб хоҳар Уайт ҳалокати Ерусалимро бо доварии иҷрокунандаи Худо дар рӯзҳои охир мутобиқ месозад.</w:t>
      </w:r>
    </w:p>
    <w:p>
      <w:pPr>
        <w:pStyle w:val="ArticleScripture"/>
        <w:jc w:val="left"/>
      </w:pPr>
      <w:r>
        <w:rPr>
          <w:rFonts w:ascii="Times New Roman" w:hAnsi="Times New Roman" w:eastAsia="Times New Roman" w:cs="Times New Roman"/>
        </w:rPr>
        <w:t>Наздик оед, эй халқҳо, то бишнавед; ва гӯш диҳед, эй қавмҳо: бигзор замин бишнавад, ва ҳар чӣ дар он аст; ҷаҳон низ, ва ҳамаи он чи аз он падид меояд. Зеро хашми Худованд бар ҳамаи халқҳост, ва ғазаби Ӯ бар ҳамаи лашкарҳои онҳост: Ӯ онҳоро тамоман ҳалок кардааст, онҳоро ба куштор супурдааст. Кушташудагони онҳо низ берун андохта хоҳанд шуд, ва буи бад аз лошаҳои онҳо хоҳад бархост, ва кӯҳҳо аз хуни онҳо об хоҳанд шуд. Ва тамоми лашкари осмонӣ пароканда хоҳад шуд, ва осмонҳо мисли тӯмор печонида хоҳанд шуд; ва тамоми лашкари онҳо фурӯ хоҳад афтод, чунон ки барг аз ток меафтад, ва мисли анҷири афтанда аз дарахти анҷир. Зеро шамшери Ман дар осмон сероб шудааст: инак, он бар Адӯм ва бар қавми лаънати Ман барои доварӣ фуруд хоҳад омад. Шамшери Худованд аз хун пур шудааст, аз чарбӣ фарбеҳ гардидааст, аз хуни баррагон ва бузҳо, аз чарбии гурдаҳои қӯчқорон; зеро Худованд дар Босра қурбонӣ дорад, ва дар замини Адӯм куштори азиме. Ва якшохон бо онҳо фурӯ хоҳанд омад, ва гӯсолаговҳо бо барзаговҳо; ва замини онҳо аз хун тар хоҳад шуд, ва ғубори онҳо аз чарбӣ фарбеҳ хоҳад гардид. Зеро ин рӯзи интиқоми Худованд аст, ва соли мукофотҳо барои даъвои Сион. Ишаъё 34:1–8.</w:t>
      </w:r>
    </w:p>
    <w:p>
      <w:pPr>
        <w:pStyle w:val="ArticleBody"/>
        <w:jc w:val="left"/>
      </w:pPr>
      <w:r>
        <w:rPr>
          <w:rFonts w:ascii="Times New Roman" w:hAnsi="Times New Roman" w:eastAsia="Times New Roman" w:cs="Times New Roman"/>
        </w:rPr>
        <w:t>Исо нахустин муаррифии оммавии Худро дар Носира анҷом дода, Худро ҳамчун Масеҳ эълон намуд. Он муаррифӣ ба таври нубувватӣ таҳти қоидаи нахустин зикр қарор дошт. Қироате, ки Ӯ интихоб кард, нишон медод, ки кори Ӯ инчунин эълон намудани «рӯзи интиқоми Худованд»-ро дар бар мегирад, ки мувофиқи Ишаъё ҳамчунин «соли ҷазоҳо барои даъвои Сион» аст.</w:t>
      </w:r>
    </w:p>
    <w:p>
      <w:pPr>
        <w:pStyle w:val="ArticleBody"/>
        <w:jc w:val="left"/>
      </w:pPr>
      <w:r>
        <w:rPr>
          <w:rFonts w:ascii="Times New Roman" w:hAnsi="Times New Roman" w:eastAsia="Times New Roman" w:cs="Times New Roman"/>
        </w:rPr>
        <w:t>Ин дар Носира буд, ки Масеҳ хизмати умумии Худро оғоз намуд ва Худро ҳамчун Масеҳ эълон кард. Ҳамон вақт онҳое ки суханони Ӯро шуниданд, вале дарк накарданд, кӯшиш карданд Ӯро бо аз кӯҳ партофтан бикушанд. Оғози хизмати Ӯ бо он нишон ёфт, ки мардуми зодгоҳаш кӯшиш карданд Ӯро бикушанд, ва анҷоми хизмати Ӯ бо он, ки қавми Ӯ дар ҳақиқат Ӯро куштанд. Хизмати Ӯ барои он буд, ки Худро ҳамчун Масеҳ муаррифӣ намояд, ки Ӯ он гашт, вақте ки дар таъмиди Худ тадҳин карда шуд. Дар таъмиди Ӯ рамзи илоҳӣ нозил шуд, то иҷрошавии пешгӯии омадани Масеҳро тасдиқ намояд. Дар 11 августи соли 1840 рамзи илоҳӣ нозил шуд, то пешгӯии паёми озмоишии он таърихро тасдиқ намояд. Ва дар 11 сентябри соли 2001 рамзи илоҳӣ фуруд омад, то паёми пешгӯишудаи он таърихро, ки паёми борони охир аст, тасдиқ намояд.</w:t>
      </w:r>
    </w:p>
    <w:p>
      <w:pPr>
        <w:pStyle w:val="ArticleScripture"/>
        <w:jc w:val="left"/>
      </w:pPr>
      <w:r>
        <w:rPr>
          <w:rFonts w:ascii="Times New Roman" w:hAnsi="Times New Roman" w:eastAsia="Times New Roman" w:cs="Times New Roman"/>
        </w:rPr>
        <w:t>«Пас аз он ки Исо ду рӯз бо сомариён меҳнат кард, онҳоро тарк намуд, то сафарҳои Худро ба сӯи Ҷалил идома диҳад. Ӯ дар Носира, ки солҳои ҷавонӣ ва аввали мардонагии Худро дар он ҷо гузаронда буд, таваққуфе накард. Пазироии Ӯ дар куништ он ҷо, ҳангоме ки Худро Масеҳ эълон намуд, чунон номусоид буд, ки Ӯ қарор дод саҳроҳои пурҳосилтареро ҷӯяд, ба гӯшҳое мавъиза кунад, ки хоҳанд шунид, ва ба дилҳое, ки паёми Ӯро хоҳанд пазируфт. Ӯ ба шогирдонаш эълон кард, ки набӣ дар ватанаш иззат надорад. Ин сухан он нохоҳиши табииро баён мекунад, ки бисёр одамон барои эътироф кардани ҳар гуна рушди шигифтангезу бисёр қобили ситоиш дар касе доранд, ки бидуни худнамоӣ дар миёни онҳо зиндагӣ кардааст ва онҳо ӯро аз кӯдакӣ аз наздик мешинохтанд. Ҳамзамон, ҳамин ашхос метавонанд аз даъвоҳои як бегона ва моҷароҷӯ ба шиддат ба ҳаяҷон оянд». The Spirit of Prophecy, volume 2, 151.</w:t>
      </w:r>
    </w:p>
    <w:p>
      <w:pPr>
        <w:pStyle w:val="ArticleBody"/>
        <w:jc w:val="left"/>
      </w:pPr>
      <w:r>
        <w:rPr>
          <w:rFonts w:ascii="Times New Roman" w:hAnsi="Times New Roman" w:eastAsia="Times New Roman" w:cs="Times New Roman"/>
        </w:rPr>
        <w:t>Дар боби бисту якуми Инҷили Луқо, Масеҳ он яксаду чиҳилу чор ҳазор нафарро муайян мекунад — насли охиринеро, ки намемирад. Ӯ инро бо пешниҳоди таърихе анҷом медиҳад, ки аз охирин ташрифи Ӯ ба он ҷое оғоз ёфт, ки пештар хонаи Падари Ӯ буд, вале баъдтар ба хонаи яҳудиён табдил ёфта буд. Дар ривояти он таърихе, ки Исо ба баёни он оғоз намуд, Ӯ ба он нуқта расид, ки Ерусалим ва маъбаде, ки шогирдон мехостанд дар бораи он донанд, бояд вайрон карда мешуд (70 милодӣ). Ӯ ин вайрониро ҳамчун айёми интиқом муайян кард, ки ҷузъе аз эълони ибтидоии хизмати Ӯ буд. «Айёми интиқом» на танҳо вайроншавии Ерусалимро дар соли 70 ифода мекард, балки ҳамчунин замони ғазаби Худоро низ, чунон ки дар ҳафт балои охирин таҷассум ёфтааст.</w:t>
      </w:r>
    </w:p>
    <w:p>
      <w:pPr>
        <w:pStyle w:val="ArticleScripture"/>
        <w:jc w:val="left"/>
      </w:pPr>
      <w:r>
        <w:rPr>
          <w:rFonts w:ascii="Times New Roman" w:hAnsi="Times New Roman" w:eastAsia="Times New Roman" w:cs="Times New Roman"/>
        </w:rPr>
        <w:t>Зеро ин аст рӯзи Парвардигор Худои лашкарҳо, рӯзи қасос, то ки аз душманони Худ қасос бигирад; ва шамшер хоҳад хӯрд, ва сер хоҳад шуд ва аз хуни онҳо маст хоҳад гардид; зеро ки Парвардигор Худои лашкарҳо дар замини шимол, назди дарёи Фурот, қурбонӣ дорад. Ирмиё 46:10.</w:t>
      </w:r>
    </w:p>
    <w:p>
      <w:pPr>
        <w:pStyle w:val="ArticleBody"/>
        <w:jc w:val="left"/>
      </w:pPr>
      <w:r>
        <w:rPr>
          <w:rFonts w:ascii="Times New Roman" w:hAnsi="Times New Roman" w:eastAsia="Times New Roman" w:cs="Times New Roman"/>
        </w:rPr>
        <w:t>«Рӯзи интиқом» бар Бобил, ки бо «қурбонӣ дар кишвари шимолӣ назди дарёи Фурот» муаррифӣ шудааст, аз қонуни якшанбеи ба зудӣ фарорасанда оғоз меёбад.</w:t>
      </w:r>
    </w:p>
    <w:p>
      <w:pPr>
        <w:pStyle w:val="ArticleScripture"/>
        <w:jc w:val="left"/>
      </w:pPr>
      <w:r>
        <w:rPr>
          <w:rFonts w:ascii="Times New Roman" w:hAnsi="Times New Roman" w:eastAsia="Times New Roman" w:cs="Times New Roman"/>
        </w:rPr>
        <w:t>Аз ғазаби Худованд он маскун нахоҳад шуд, балки тамоман вайрон хоҳад гашт; ҳар кӣ аз назди Бобил бигзарад, дар ҳайрат хоҳад монд ва бар ҳамаи офатҳои он ҳуштак хоҳад зад. Бар зидди Бобил гирдогирд саф ороста, биистед; эй ҳамаи шумо, ки камон мекашед, ба он тир андозед, ҳеҷ тирро дареғ надоред, зеро ки вай ба Худованд гуноҳ кардааст. Бар зидди он гирдогирд нидо бардоред; вай дасти худро додааст; таҳкурсҳои он фурӯ рехтаанд, деворҳояш сарнагун шудаанд; зеро ин интиқоми Худованд аст. Аз он интиқом бигиред; чунон ки вай кардааст, ба вай ҳамон тавр бикунед. Кишоварзро аз Бобил ва он касеро, ки дар вақти дарав дос ба даст мегирад, нобуд кунед; аз тарси шамшери ситамгар ҳар яке сӯи қавми худ рӯй хоҳад овард ва ҳар яке ба замини худ хоҳад гурехт. Исроил гӯсфанди пароканда аст; шерон ӯро рондаанд; аввал подшоҳи Ашшур ӯро фурӯ бурд, ва охир ин Набукаднесар, подшоҳи Бобил, устухонҳояшро шикаст. Бинобар ин, Худованди лашкарҳо, Худои Исроил, чунин мегӯяд: Инак, Ман подшоҳи Бобил ва замини ӯро ҷазо хоҳам дод, чунон ки подшоҳи Ашшурро ҷазо додаам. Ва Исроилро боз ба чарогоҳи худ хоҳам овард, ва ӯ дар Кармил ва Бошон хоҳад чарид, ва ҷони ӯ бар кӯҳи Эфроим ва Ҷилъод сер хоҳад шуд. Дар он айём ва дар он вақт, мегӯяд Худованд, гуноҳи Исроил ҷустуҷӯ хоҳад шуд, вале нахоҳад буд; ва гуноҳони Яҳудо, ва онҳо ёфта нахоҳанд шуд; зеро Ман онҳоеро, ки боқӣ мегузорам, хоҳам омурзид. Ба замини Меротаим бароед, яъне бар зидди он ва бар зидди сокинони Пақӯд; онҳоро хароб кунед ва тамоман нест намоед, мегӯяд Худованд, ва мувофиқи ҳар он чи ба ту фармудаам, амал бикун. Садои ҷанг дар он замин аст, ва садои шикасти бузург. Чӣ гуна болғаи тамоми замин пора-пора ва шикаста шудааст! Чӣ гуна Бобил дар миёни халқҳо ба вайрона табдил ёфтааст! Ман барои ту дом ниҳода будам, ва ту низ, эй Бобил, гирифтор шудӣ, ва худ огоҳ набудӣ; ту ёфта шудӣ ва низ дастгир гардидӣ, зеро бо Худованд ситез кардаӣ. Худованд хазинаи аслиҳаи Худро кушода, силоҳҳои ғазаби Худро берун овардааст; зеро ин кори Парвардигор Худои лашкарҳо дар замини калдониён аст. Аз канори дурдаст бар зидди он биёед, анборҳояшро бикшоед; онро чун тӯдаҳо барҳам диҳед ва тамоман нест кунед; бигзор аз он чизе боқӣ намонад. Ҳамаи говҳои наринаи онро бикушед; бигзор ба кушторгоҳ фуруд оянд. Вой бар ҳоли онҳо! зеро рӯзи онҳо фаро расидааст, вақти боздиди онҳо. Овози онҳое ки аз замини Бобил мегурезанд ва халос мешаванд, то дар Сион интиқоми Худованд Худои моро, интиқоми маъбади Ӯро, эълон намоянд. Камонкашонро бар зидди Бобил гирд оваред; эй ҳамаи шумо, ки камон мекашед, гирдогирди он урду занед; нагузоред, ки касе аз он раҳо шавад; ба вай мувофиқи кирдораш сазо диҳед; мувофиқи ҳар он чи кардааст, ба вай бикунед; зеро вай бар зидди Худованд, бар зидди Қуддуси Исроил, такаббур варзидааст. Ирмиё 50:13–29.</w:t>
      </w:r>
    </w:p>
    <w:p>
      <w:pPr>
        <w:pStyle w:val="ArticleBody"/>
        <w:jc w:val="left"/>
      </w:pPr>
      <w:r>
        <w:rPr>
          <w:rFonts w:ascii="Times New Roman" w:hAnsi="Times New Roman" w:eastAsia="Times New Roman" w:cs="Times New Roman"/>
        </w:rPr>
        <w:t>Вайрон шудани Ерусалим дар соли 70 милодӣ ҳукми иҷроии фоҳишаи Бобилро ифода менамояд, ки аз қонуни якшанбеи ба наздикӣ фарорасанда дар Иёлоти Муттаҳида оғоз меёбад. Исо медонист, ки Ӯ соли 70 милодиро ҳамчун қонуни якшанбеи ба наздикӣ фарорасанда муайян месозад, зеро Ӯ муаллифи Каломи Худ аст, ва Ӯ Калом аст. Муҳим аст, ки заминаи он нубувватеро, ки Исо дар боби бисту якуми Луқо баён менамояд, дарк кунем, то бифаҳмем, ки он аломате, ки фаро расидани насли охиринро муайян мекунад, кадом аст.</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Омадани Масеҳ дар ториктарин давраи таърихи ин замин ба вуқӯъ хоҳад пайваст. Рӯзҳои Нӯҳ ва Лут ҳолати ҷаҳонро андаке пеш аз омадани Писари Одам тасвир мекунанд. Навиштаҳои Муқаддас, ки ба ин замон ишора намуда пешгӯӣ мекунанд, эълон медоранд, ки шайтон бо тамоми қудрат ва «бо ҳар фиреби ноинсофӣ» амал хоҳад кард. 2 Таслӯникиён 2:9, 10. Амали ӯ ба таври равшан аз торикии босуръат афзоянда, аз иштибоҳҳои бешумор, бидъатҳо ва гумроҳиҳои ин рӯзҳои охир ошкор мегардад. На танҳо шайтон ҷаҳонро ба асорат мебарад, балки фиребҳои ӯ калисоҳои эътирофкунандаи Худованди мо Исои Масеҳро низ хамирмоявор фаро мегиранд. Иртидоди бузург ба торикие рушд хоҳад кард, ки чун нимашаб амиқ аст. Барои халқи Худо он шаби озмоиш, шаби гиря, шаби таъқибот ба хотири ҳақиқат хоҳад буд. Аммо аз миёни он шаби торикӣ нури Худо хоҳад дурахшид.</w:t>
      </w:r>
    </w:p>
    <w:p>
      <w:pPr>
        <w:pStyle w:val="ArticleScripture"/>
        <w:jc w:val="left"/>
      </w:pPr>
      <w:r>
        <w:rPr>
          <w:rFonts w:ascii="Times New Roman" w:hAnsi="Times New Roman" w:eastAsia="Times New Roman" w:cs="Times New Roman"/>
        </w:rPr>
        <w:t>Ӯ сабаб мегардад, ки «нур аз миёни зулмот битобад». 2 Қӯринтиён 4:6. Ҳангоме ки «замин бесурату холӣ буд, ва бар рӯи варта торикӣ буд», «Рӯҳи Худо бар рӯи обҳо ҳаракат мекард. Ва Худо гуфт: Нур бишавад; ва нур шуд». Ҳастӣ 1:2, 3. Ҳамчунин, дар шаби торикии рӯҳонӣ, каломи Худо пеш меравад: «Нур бишавад». Ба қавми Худ Ӯ мегӯяд: «Бархез, бидурахш; зеро нури ту омадааст, ва ҷалоли Худованд бар ту тулӯъ кардааст». Ишаъё 60:1.</w:t>
      </w:r>
    </w:p>
    <w:p>
      <w:pPr>
        <w:pStyle w:val="ArticleScripture"/>
        <w:jc w:val="left"/>
      </w:pPr>
      <w:r>
        <w:rPr>
          <w:rFonts w:ascii="Times New Roman" w:hAnsi="Times New Roman" w:eastAsia="Times New Roman" w:cs="Times New Roman"/>
        </w:rPr>
        <w:t>«“Инак, Навишта мегӯяд: “Зеро, торикӣ заминро хоҳад пӯшонид, ва зулмоти ғафс қавмҳоро; аммо Худованд бар ту тулӯъ хоҳад кард, ва ҷалоли Ӯ бар ту дида хоҳад шуд.” Ояти 2. Масеҳ, ки шуоъафкани ҷалоли Падар аст, ҳамчун нури ҷаҳон ба ин ҷаҳон омад. Ӯ омад, то Худоро ба одамон муаррифӣ намояд, ва дар бораи Ӯ навишта шудааст, ки Ӯ бо “Рӯҳулқудс ва қувват” тадҳин ёфт, ва “гашта, некӣ мекард.” Аъмол 10:38. Дар куништари Носира Ӯ гуфт: “Рӯҳи Худованд бар Ман аст, зеро ки Ӯ Маро тадҳин кардааст, то ба мискинон башорат диҳам; Маро фиристодааст, то шикастадилонро шифо диҳам, ба асирон озодиро мавъиза кунам, ва ба кӯрон бозёфтани биноиро, озод кунам мазлумонро, то соли мақбули Худовандро мавъиза кунам.” Луқо 4:18, 19. Ин ҳамон коре буд, ки Ӯ ба шогирдони Худ супориш дод, то анҷом диҳанд. “Шумо нури ҷаҳон ҳастед,” гуфт Ӯ. “Пас бигзоред нури шумо пеши одамон чунон битобад, ки аъмоли неки шуморо дида, Падари шуморо, ки дар осмон аст, ҳамду сано гӯянд.” Матто 5:14, 16.” Паёмбарон ва Подшоҳон,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понздаҳум</dc:title>
  <dc:subject>Ошкор сохтани хусусиятҳои нубувватии насли охирин</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