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Сездаҳ</w:t>
      </w:r>
    </w:p>
    <w:p>
      <w:pPr>
        <w:pStyle w:val="ArticleSubtitle"/>
        <w:jc w:val="left"/>
      </w:pPr>
      <w:r>
        <w:rPr>
          <w:rFonts w:ascii="Arial" w:hAnsi="Arial" w:eastAsia="Arial" w:cs="Arial"/>
        </w:rPr>
        <w:t>Сирри айёми охирзамон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Боби дуюми Дониёл фариштаи дуюми Ваҳйи чордаҳумро ифода менамояд. Аз ин рӯ, он дуюми се озмоишро ифода мекунад, ки ҳамчун озмоиши ғизоӣ муаррифӣ шудааст, пас аз он озмоиши биноӣ меояд, ва бо озмоиши лакмусӣ анҷом меёбад. Ҳар сеи ин озмоишҳо, ки ҳамчунин аломатҳои роҳнамои нубувватӣ мебошанд, дар паёми фариштаи якуми Ваҳйи чордаҳум вуҷуд доранд. Чунон ки бо фариштаи якуми Ваҳйи чордаҳум аст, боби якуми Дониёл низ ҳар яке аз ин се озмоишро дар бар мегирад.</w:t>
      </w:r>
    </w:p>
    <w:p>
      <w:pPr>
        <w:pStyle w:val="ArticleBody"/>
        <w:jc w:val="left"/>
      </w:pPr>
      <w:r>
        <w:rPr>
          <w:rFonts w:ascii="Times New Roman" w:hAnsi="Times New Roman" w:eastAsia="Times New Roman" w:cs="Times New Roman"/>
        </w:rPr>
        <w:t>Санҷиши дуюм, ё паёми фариштаи дуюм, дар поёни санҷиши аввал оғоз меёбад. Боби дуюм аз паси боби аввал меояд. Хулосаи санҷиши дуюм бе фосила санҷиши сеюмро оғоз мекунад. Давраи замоне, ки бо санҷиши дуюм ифода шудааст, бо ҳафтод соли асорати Дониёл рамзгузорӣ гардида буд, ки бо забт шудани Еҳӯёқим оғоз ёфта, бо фармони Куруш ба анҷом расид. Ҳангоме ки анҷоми он ҳафтод сол наздик мешуд, Дониёл ба воситаи Каломи нубувватии Худо дарк кард, ки анҷом қариб фаро мерасад.</w:t>
      </w:r>
    </w:p>
    <w:p>
      <w:pPr>
        <w:pStyle w:val="ArticleScripture"/>
        <w:jc w:val="left"/>
      </w:pPr>
      <w:r>
        <w:rPr>
          <w:rFonts w:ascii="Times New Roman" w:hAnsi="Times New Roman" w:eastAsia="Times New Roman" w:cs="Times New Roman"/>
        </w:rPr>
        <w:t>Дар соли аввали подшоҳии Дориюш, писари Аҳашверӯш, аз насли модиён, ки бар мамлакати калдониён подшоҳ таъйин гардида буд, ман, Дониёл, дар соли аввали ҳукмронии ӯ аз китобҳо шумораи солҳоеро дарёфтам, ки каломи Худованд дар бораи онҳо ба Ирмиёи набӣ нозил шуда буд, ки харобиҳои Ерусалим ҳафтод сол ба анҷом хоҳанд расид. Дониёл 9:1, 2.</w:t>
      </w:r>
    </w:p>
    <w:p>
      <w:pPr>
        <w:pStyle w:val="ArticleBody"/>
        <w:jc w:val="left"/>
      </w:pPr>
      <w:r>
        <w:rPr>
          <w:rFonts w:ascii="Times New Roman" w:hAnsi="Times New Roman" w:eastAsia="Times New Roman" w:cs="Times New Roman"/>
        </w:rPr>
        <w:t>Дониёл қавми Худоро дар рӯзҳои охир намояндагӣ мекунад, ки маънои рамзии ҳафтод соли асириро мешиносанд, ва ин шинохт андаке пеш аз анҷоми он ҳафтод соли рамзӣ ба амал меояд. Қавми Худо асирии ҳафтодсоларо дуруст дарк кардаанд, аммо он чи Дониёл намояндагӣ мекунад, ин фаҳмиш аст, ки он ҳафтод сол давраи нубувватиро аз 11 сентябри соли 2001 то қонуни якшанбе намояндагӣ мекунад. Барои Дониёл, он солҳо бо фармони Куруш ба поён расиданд, ки дар рӯзҳои охир қонуни якшанберо дар Иёлоти Муттаҳида намояндагӣ мекунад.</w:t>
      </w:r>
    </w:p>
    <w:p>
      <w:pPr>
        <w:pStyle w:val="ArticleBody"/>
        <w:jc w:val="left"/>
      </w:pPr>
      <w:r>
        <w:rPr>
          <w:rFonts w:ascii="Times New Roman" w:hAnsi="Times New Roman" w:eastAsia="Times New Roman" w:cs="Times New Roman"/>
        </w:rPr>
        <w:t>Чанде пеш аз қонуни якшанбе, қавми Худо ба фаҳмиши нубувватӣ, ки бо ҳафтод соли рамзӣ ифода ёфтааст, бедор карда мешаванд. Он солҳои рамзӣ бо Еҳӯёқим оғоз ёфтанд, ки ӯ намояндаи 11 сентябри соли 2001 мебошад, вақте ки бо омадани Ислом аз Войи сеюм, фариштаи қавии Ваҳй боби ҳаждаҳум нозил шуд ва суқути Бобилро эълон намуд. Суқути Бобил паёми фариштаи дуюмро ифода мекунад, ва дар 11 сентябри соли 2001 давраи дуюми имтиҳон барои онҳое, ки китоби пинҳонро, ки дар дасти фаришта буд, хӯрданд, оғоз ёфт. Он давра, ки бо ҳафтод соли рамзӣ ифода шудааст, то худи қонуни якшанбе идома меёбад.</w:t>
      </w:r>
    </w:p>
    <w:p>
      <w:pPr>
        <w:pStyle w:val="ArticleBody"/>
        <w:jc w:val="left"/>
      </w:pPr>
      <w:r>
        <w:rPr>
          <w:rFonts w:ascii="Times New Roman" w:hAnsi="Times New Roman" w:eastAsia="Times New Roman" w:cs="Times New Roman"/>
        </w:rPr>
        <w:t>Чун интиҳо наздик меояд, чунон ки ин дар намунаи Дониёл дар соли аввали Дориюш нишон дода шудааст, қавми Худо ба озмоиши сурати ҳайвон бедор карда мешаванд. Онҳо пештар баъзе аз ҳақиқатҳоеро, ки бо озмоиши сурати ҳайвон вобастаанд, дарк карда буданд, вале он бахше, ки онҳоро андаке пеш аз анҷоми давраи нубувватии фариштаи дуюм ба фаҳми он меоранд, дар торикӣ пинҳон буда буд. Ҳамон тавре ки Дониёл Каломи нубувватии Худоро меомӯхт ва сипас аз аҳамияти ҳафтод сол огоҳ гардид, ӯ ба дуо роҳнамун шуд, чунон ки пештар низ, вақте аз таҳдиди ҳаёт ё марги Набукаднесар дар бораи хоби сурати ӯ огоҳ шуда буд, ба дуо роҳнамун гардида буд. Дар боби нӯҳуми Дониёл, ҳамчунин дар боби дуюми Дониёл, вақте ки Дониёл дуо мекард, ӯ нури нубувватиро дарёфт намуд.</w:t>
      </w:r>
    </w:p>
    <w:p>
      <w:pPr>
        <w:pStyle w:val="ArticleScripture"/>
        <w:jc w:val="left"/>
      </w:pPr>
      <w:r>
        <w:rPr>
          <w:rFonts w:ascii="Times New Roman" w:hAnsi="Times New Roman" w:eastAsia="Times New Roman" w:cs="Times New Roman"/>
        </w:rPr>
        <w:t>Бале, ҳангоме ки ман дар дуо сухан мегуфтам, ҳамон мард Ҷабраил, ки ӯро дар рӯъёи аввала дида будам, бо парвози тез назди ман расид ва қариб вақти қурбонии шомгоҳӣ ба ман даст расонд. Ва ӯ маро огоҳонид, бо ман сухан гуфт ва гуфт: «Эй Дониёл, алҳол ман берун омадаам, то ба ту хирад ва фаҳмиш бидиҳам». Дониёл 9:21, 22.</w:t>
      </w:r>
    </w:p>
    <w:p>
      <w:pPr>
        <w:pStyle w:val="ArticleBody"/>
        <w:jc w:val="left"/>
      </w:pPr>
      <w:r>
        <w:rPr>
          <w:rFonts w:ascii="Times New Roman" w:hAnsi="Times New Roman" w:eastAsia="Times New Roman" w:cs="Times New Roman"/>
        </w:rPr>
        <w:t>«Маҳорат ва фаҳм»е, ки ба Дониёл ҳангоми дуо гуфтанаш дода шуд, бо дуои ӯ дар боби дуюм мувофиқат мекунад.</w:t>
      </w:r>
    </w:p>
    <w:p>
      <w:pPr>
        <w:pStyle w:val="ArticleScripture"/>
        <w:jc w:val="left"/>
      </w:pPr>
      <w:r>
        <w:rPr>
          <w:rFonts w:ascii="Times New Roman" w:hAnsi="Times New Roman" w:eastAsia="Times New Roman" w:cs="Times New Roman"/>
        </w:rPr>
        <w:t>Он гоҳ Дониёл ба хонаи худ рафт ва ин амрро ба Ҳананё, Мишоил ва Азарё, ёронаш, маълум кард, то ки онҳо аз Худои осмон дар бораи ин сирр марҳамат талаб намоянд; то ки Дониёл ва рафиқонаш бо бақияи ҳакимони Бобил ҳалок нашаванд. Он гоҳ ин сирр ба Дониёл дар рӯъёи шабона ошкор карда шуд. Он гоҳ Дониёл Худои осмонро муборак хонд. Дониёл 2:17–19.</w:t>
      </w:r>
    </w:p>
    <w:p>
      <w:pPr>
        <w:pStyle w:val="ArticleBody"/>
        <w:jc w:val="left"/>
      </w:pPr>
      <w:r>
        <w:rPr>
          <w:rFonts w:ascii="Times New Roman" w:hAnsi="Times New Roman" w:eastAsia="Times New Roman" w:cs="Times New Roman"/>
        </w:rPr>
        <w:t>Қатра ба қатра, дуои дугонаи Дониёл дар асл як дуо аст. Ҳар ду дар ҷараёни таърихе дода шудаанд, ки ба таври рамзӣ озмоиши намоёнии фариштаи дуюмро ифода мекунад ва он миёни 11 сентябри соли 2001 ва қонуни якшанбеи ба зудӣ фарооянда ба вуқӯъ мепайвандад. Бо таҳдиди марги наздик аз ҷониби Набукаднесар ва бо дониши нубувватии ҳам ҳафтод соли Ирмиё ва ҳам савганди ҳафткаратаи Мусо, Дониёл дуои Ибодот боби бисту шашумро ба ҷо меорад, дар ҳоле ки аз Худо хоҳиш мекунад, ки сирри ниҳоии нубувватии пешгӯии Китоби Муқаддасро бар ӯ ошкор намояд. Ҳамон сирре, ки Юҳанно онро «Ваҳйи Исои Масеҳ» меномад.</w:t>
      </w:r>
    </w:p>
    <w:p>
      <w:pPr>
        <w:pStyle w:val="ArticleBody"/>
        <w:jc w:val="left"/>
      </w:pPr>
      <w:r>
        <w:rPr>
          <w:rFonts w:ascii="Times New Roman" w:hAnsi="Times New Roman" w:eastAsia="Times New Roman" w:cs="Times New Roman"/>
        </w:rPr>
        <w:t>Дар боби нуҳум, Дониёл дар гузариши байни ду подшоҳӣ қарор дорад. Бобил тоза ба дасти мадиён ва форсиён суқут кардааст, зеро он соли аввали Дорёш аст; бинобар ин, қавми Худо дар айёми охир дар нуқтаи гузарише қарор дода мешаванд, ки дар ҳаракати фариштаи аввал ва ҳамчунин дар ҳаракати фариштаи сеюм ишора ва муайян гардида буд.</w:t>
      </w:r>
    </w:p>
    <w:p>
      <w:pPr>
        <w:pStyle w:val="ArticleBody"/>
        <w:jc w:val="left"/>
      </w:pPr>
      <w:r>
        <w:rPr>
          <w:rFonts w:ascii="Times New Roman" w:hAnsi="Times New Roman" w:eastAsia="Times New Roman" w:cs="Times New Roman"/>
        </w:rPr>
        <w:t>Ҳаракати миллерии филаделфиявӣ дар соли 1856 ба Лоадиқия гузашт, ва ҳаракати лоадиқиявии Future for America дар анҷоми сеюним рӯзи мурда хобидан дар кӯчаи Ваҳй боби ёздаҳ, ба ҳаракати филаделфиявӣ мегузарад. Имтиҳоне, ки бо ҳаракати филаделфиявии миллерчиён аз соли 1856 то 1863 нокомона гузаронида шуд, ба таълимоти «ҳафт замон» вобаста буд.</w:t>
      </w:r>
    </w:p>
    <w:p>
      <w:pPr>
        <w:pStyle w:val="ArticleBody"/>
        <w:jc w:val="left"/>
      </w:pPr>
      <w:r>
        <w:rPr>
          <w:rFonts w:ascii="Times New Roman" w:hAnsi="Times New Roman" w:eastAsia="Times New Roman" w:cs="Times New Roman"/>
        </w:rPr>
        <w:t>Санҷиш барои ҳаракати Лаодикияи Future for America ба зарурати шинохтани ҳолати парокандаи онҳо вобаста аст, ва сипас ворид шудан ба дуо ва таҷрибаи Левиён боби бисту шаш. Дониёл дар замони гузариш миёни салтанатҳои Бобил ва Модаю Форс қарор дошт, ва андаке пеш аз анҷоми давраи ҳафтодсолае буд, ки бо фармони Куруш муайян шудааст. Ҳафтод сол заминаи дуои Дониёл аст, ва ҳафтод сол «ҳафт вақт»-и Мусоро ифода мекунад. Ҳар ду дуои Дониёл бо замони гузарише мутобиқат доранд, ки бо «ҳафт вақт» дар ҳаракати фариштаи аввал, ва ҳамчунин дар ҳаракати фариштаи сеюм ишора шудааст.</w:t>
      </w:r>
    </w:p>
    <w:p>
      <w:pPr>
        <w:pStyle w:val="ArticleBody"/>
        <w:jc w:val="left"/>
      </w:pPr>
      <w:r>
        <w:rPr>
          <w:rFonts w:ascii="Times New Roman" w:hAnsi="Times New Roman" w:eastAsia="Times New Roman" w:cs="Times New Roman"/>
        </w:rPr>
        <w:t>«Сирре», ки бар Дониёл ошкор мегардад, ваҳйи ҳайкали Набукаднесар аст. «Сирри» ҳайкали Набукаднесар дар рӯзҳои охир он аст, ки он на чор, балки ҳашт подшоҳиро намояндагӣ мекунад. Дар мақолаҳои пешина, ки дар бахши «Ҳаштум аз ҳафт аст» қарор доранд, ин ҳақиқат аллакай пешниҳод шудааст. Дар дохили он сирр ваҳйи нуқтаи гузариш нуҳуфтааст, вақте ки ҳаштум меояд, ки аз ҳафт аст. «Сирри» ҳайкали Набукаднесар тасдиқи эҳёи шохи протестантизми ҳақиқӣ ва шохи ҷумҳурихоҳист. Ҳар дуи он эҳёҳо муайян месозанд, ки ҳар як шох ҳаштум аст, вале аз ҳафт аст; ва гузариш аз шашум ба ҳаштум барои ҳар ду шох дар заминаи нубувватии озмоише сурат мегирад, ки бо «ҳафт бор»-и Мӯсо алоқаманд аст. Ин гузариш, чунон ки Дониёл онро намояндагӣ мекунад, андаке пеш аз фармони Куруш, ки фармони қонуни якшанбе дар Иёлоти Муттаҳида را намояндагӣ мекунад, ба амал меояд. Сипас, ҳангоми қонуни якшанбе, дар ҳаракатҳои босуръат, захми марговари папагӣ шифо меёбад, зеро папагӣ ба сари ҳаштуме табдил меёбад, ки аз ҳафт аст, ва он низ аз як гузариши нубувватӣ мегузарад, чунон ки онро ҳайкали Набукаднесар дар Дониёл боби ду намояндагӣ мекунад.</w:t>
      </w:r>
    </w:p>
    <w:p>
      <w:pPr>
        <w:pStyle w:val="ArticleScripture"/>
        <w:jc w:val="left"/>
      </w:pPr>
      <w:r>
        <w:rPr>
          <w:rFonts w:ascii="Times New Roman" w:hAnsi="Times New Roman" w:eastAsia="Times New Roman" w:cs="Times New Roman"/>
        </w:rPr>
        <w:t>Бинобар ин, Дониёл назди Арйӯх, ки подшоҳ ӯро барои нобуд кардани ҳакимони Бобил таъйин карда буд, даромад; ӯ рафта, ба вай чунин гуфт: «Ҳакимони Бобилро нобуд макун; маро ба ҳузури подшоҳ биёр, ва ман таъбири онро ба подшоҳ маълум хоҳам кард». Он гоҳ Арйӯх Дониёлро шитобон ба ҳузури подшоҳ овард ва ба ӯ чунин гуфт: «Ман аз миёни асирони Яҳудо марде ёфтам, ки таъбирро ба подшоҳ маълум хоҳад кард». Подшоҳ ҷавоб дода, ба Дониёл, ки номаш Белтешассар буд, гуфт: «Оё ту метавонӣ он хоберо, ки ман дидаам, ва таъбири онро ба ман маълум кунӣ?» Дониёл 2:24–26.</w:t>
      </w:r>
    </w:p>
    <w:p>
      <w:pPr>
        <w:pStyle w:val="ArticleBody"/>
        <w:jc w:val="left"/>
      </w:pPr>
      <w:r>
        <w:rPr>
          <w:rFonts w:ascii="Times New Roman" w:hAnsi="Times New Roman" w:eastAsia="Times New Roman" w:cs="Times New Roman"/>
        </w:rPr>
        <w:t>Вақте ки ба Дониёл он сир ошкор карда мешавад, ҳар ду номи ӯ зикр мегарданд, ва ҳамин тавр муайян мешавад, ки ӯ қавми аҳдро намояндагӣ мекунад, ки дар айёми охир акнун ба ҳаракати Филаделфиягии яксаду чиҳилу чаҳор ҳазор гузаштаанд. Ӯ хислати бандаи Худоро зоҳир менамояд, зеро хоҳиш мекунад, ки ҳеҷ кас ба сабаби нотавонияш дар фаҳмидани «сир» кушта нашавад. Хислати ӯ бо хислати Арюх, бандаи Набукаднесар, ки мехоҳад барои ёфтани Дониёл назди подшоҳ эътибор ба даст оварад, муқоиса карда мешавад. Сипас Дониёл фарқиятро миёни зуҳури ҳақиқии нубувват ва зуҳури ҳакимони Бобил муайян месозад, вақте ки ба саволи Набукаднесар бо саволе посух медиҳад; ва он гоҳ, бар хилофи Арюх, аз фаҳмиши худ дар бораи «сир» барои боло бурдани худ суд намебарад, балки баръакс Худои осмонро сарафроз мегардонад.</w:t>
      </w:r>
    </w:p>
    <w:p>
      <w:pPr>
        <w:pStyle w:val="ArticleScripture"/>
        <w:jc w:val="left"/>
      </w:pPr>
      <w:r>
        <w:rPr>
          <w:rFonts w:ascii="Times New Roman" w:hAnsi="Times New Roman" w:eastAsia="Times New Roman" w:cs="Times New Roman"/>
        </w:rPr>
        <w:t>Дониёл дар ҳузури подшоҳ ҷавоб дода, гуфт: «Он сирре ки подшоҳ талаб кардааст, ҳакимон, мунаҷҷимон, ҷодугарон ва коҳинон наметавонанд ба подшоҳ ошкор созанд; аммо Худое дар осмон ҳаст, ки асрорро ошкор мекунад ва ба подшоҳ Набукаднесар маълум месозад, ки дар айёми охир чӣ воқеъ хоҳад шуд. Хоби ту ва рӯъёҳои сари ту бар бистарат инҳоянд». Дониёл 2:27, 28.</w:t>
      </w:r>
    </w:p>
    <w:p>
      <w:pPr>
        <w:pStyle w:val="ArticleBody"/>
        <w:jc w:val="left"/>
      </w:pPr>
      <w:r>
        <w:rPr>
          <w:rFonts w:ascii="Times New Roman" w:hAnsi="Times New Roman" w:eastAsia="Times New Roman" w:cs="Times New Roman"/>
        </w:rPr>
        <w:t>Дониёл баёни «роз»-и худро бо он оғоз мекунад, ки онро ҳамчун «роз»-е муайян месозад, ки он чиро, ки дар рӯзҳои охир хоҳад буд, шарҳ медиҳад. Рози таърихи пинҳонии ҳафт раъд он чиро, ки дар рӯзҳои охир хоҳад буд, муайян месозад. Ҳайкали Набукаднесар унсуре аз рози рӯзҳои охир аст, ки андаке пеш аз басташавии муҳлати имтиёз кушода мегардад. Он андаке пеш аз басташавии муҳлати имтиёз, дар замони гузарише ошкор карда мешавад, ки дар он ҳар ду шохи ҳайвони заминӣ ба ҳаштуме, ки аз ҳафт аст, табдил меёбанд, чунон ки Дониёл дар соли аввали Дорёш нишон медиҳад.</w:t>
      </w:r>
    </w:p>
    <w:p>
      <w:pPr>
        <w:pStyle w:val="ArticleScripture"/>
        <w:jc w:val="left"/>
      </w:pPr>
      <w:r>
        <w:rPr>
          <w:rFonts w:ascii="Times New Roman" w:hAnsi="Times New Roman" w:eastAsia="Times New Roman" w:cs="Times New Roman"/>
        </w:rPr>
        <w:t>Вале ту, эй подшоҳ, фикрҳои ту бар бистарат ба дили ту омаданд дар бораи он чи баъд аз ин воқеъ хоҳад шуд; ва Ӯ, ки асрорро ошкор месозад, ба ту маълум кард, ки чӣ воқеъ хоҳад шуд. Аммо дар бораи ман, ин сир ба ман на ба сабаби ҳикмате ки дар ман бештар аз ҳар зиндае бошад, ошкор гардидааст, балки барои онҳое ки таъбирро ба подшоҳ маълум хоҳанд кард, то ту фикрҳои дили худро бидонӣ. Дониёл 2:29, 30.</w:t>
      </w:r>
    </w:p>
    <w:p>
      <w:pPr>
        <w:pStyle w:val="ArticleBody"/>
        <w:jc w:val="left"/>
      </w:pPr>
      <w:r>
        <w:rPr>
          <w:rFonts w:ascii="Times New Roman" w:hAnsi="Times New Roman" w:eastAsia="Times New Roman" w:cs="Times New Roman"/>
        </w:rPr>
        <w:t>Дониёл ҳақиқатро бо шоҳиди дуюм дар бораи он ки хоби Набукаднесар ба айёми охир тааллуқ дорад, устувор месозад, ҳангоме ки мегӯяд: «Он ки асрорро ошкор месозад, ба ту маълум гардонидааст он чиро ки ба вуқӯъ хоҳад омад», «баъд аз ин». Сипас Дониёл муайян мекунад, ки ин асрор барои ӯ дода нашуда буд, ва на аз он сабаб ки ӯ аз ҳар инсони дигар ҳикмати волотаре дошт, балки ин «асрор» ба Набукаднесар «барои онҳое» дода шуд, «ки таъбирро маълум хоҳанд кард». Ин «асрор» барои онҳое дода шуд, ки «таъбир»-и хобро ба подшоҳи рӯҳонии Бобил дар айёми охир пешниҳод хоҳанд кард. Ин асрор махсусан барои яксаду чилу чаҳор ҳазор дода шуд, зеро «асрор» барои онҳое аст, ки дар рӯзҳои охир суқути ниҳоии Бобилро эълон мекунанд. Он гоҳ Дониёл хоб-суратеро, ки дар торикӣ пинҳон шуда буд ва озмоиши ҳаёт ё мамотро ба вуҷуд оварда буд, ошкор месозад.</w:t>
      </w:r>
    </w:p>
    <w:p>
      <w:pPr>
        <w:pStyle w:val="ArticleScripture"/>
        <w:jc w:val="left"/>
      </w:pPr>
      <w:r>
        <w:rPr>
          <w:rFonts w:ascii="Times New Roman" w:hAnsi="Times New Roman" w:eastAsia="Times New Roman" w:cs="Times New Roman"/>
        </w:rPr>
        <w:t>Ту, эй подшоҳ, дидӣ, ва инак ҳайкали бузурге. Ин ҳайкали бузург, ки дурахши он бисёр олиҷаноб буд, пеши ту истода буд; ва сурати он даҳшатнок буд. Сари ин ҳайкал аз тиллои холис буд, сина ва бозуҳояш аз нуқра, шикам ва ронҳояш аз мис, Пойҳояш аз оҳан, ва панҷаҳои пойҳояш қисман аз оҳан ва қисман аз гил. Ту менигаристӣ, то он даме ки санге бе дасти инсон бурида шуд, ва он ҳайкалро бар панҷаҳои пойҳояш, ки аз оҳан ва гил буданд, зад ва онҳоро пора-пора кард. Он гоҳ оҳан, гил, мис, нуқра ва тилло ҳама якҷоя пора-пора шуданд, ва монанди коҳи хирмани тобистон гардиданд; ва бод онҳоро бурд, ба тавре ки дигар барои онҳо ҷойе ёфт нашуд; ва он санге ки ҳайкалро зада буд, ба кӯҳи бузурге табдил ёфт ва тамоми заминро пур кард. Ин аст хоб; ва таъбири онро низ пеши подшоҳ хоҳем гуфт. Дониёл 2:31–36.</w:t>
      </w:r>
    </w:p>
    <w:p>
      <w:pPr>
        <w:pStyle w:val="ArticleBody"/>
        <w:jc w:val="left"/>
      </w:pPr>
      <w:r>
        <w:rPr>
          <w:rFonts w:ascii="Times New Roman" w:hAnsi="Times New Roman" w:eastAsia="Times New Roman" w:cs="Times New Roman"/>
        </w:rPr>
        <w:t>Хоби Набукаднесар салтанатҳоеро, ки дар пешгӯии Китоби Муқаддас аз замони ӯ то айёми охир муайян шудаанд, ошкор намуд; дар он айём саду чилу чор ҳазор нафар, ки аз ҷониби Дониёл дар ҳузури Набукаднесар, ва аз ҷониби он санге ки бе дастон бурида шуд, намояндагӣ мешаванд, салтанатҳои заминиеро, ки дар он пайкара тасвир шудаанд, нобуд месозанд; ва он гоҳ он санг ба кӯҳе мубаддал мегардад, ки тамоми заминро пур мекунад. Ин хоб дар бораи айёми охир буд, дар он нуқтаи гузариши пешгӯёна, ҳангоме ки охирин сирри пешгӯёна ба саду чилу чор ҳазор ошкор карда мешавад.</w:t>
      </w:r>
    </w:p>
    <w:p>
      <w:pPr>
        <w:pStyle w:val="ArticleBody"/>
        <w:jc w:val="left"/>
      </w:pPr>
      <w:r>
        <w:rPr>
          <w:rFonts w:ascii="Times New Roman" w:hAnsi="Times New Roman" w:eastAsia="Times New Roman" w:cs="Times New Roman"/>
        </w:rPr>
        <w:t>Ҳамчун парчами шохи ҳақиқии протестантӣ, онҳо он гоҳ паёми фариштаи сеюмро ба ҷаҳоне, ки ба ҳалокат меравад, мебаранд. Он паём дар вақти қонуни якшанбе дар Иёлоти Муттаҳида, ҳангоме ки нишони ҳайвон ҷорӣ карда мешавад, ба нидои баланд вусъат меёбад. Пеш аз он фармон, онҳое ки дар рӯзҳои охир аз ҷониби Дониёл муаррифӣ шудаанд, бояд бо озмоиши сурати ҳайвон рӯ ба рӯ гарданд. Он озмоиш озмоиши аёнӣ аст ва талаб мекунад, ки ҳаракатҳое, ки фармони қонуни якшанбе ба вуҷуд меоранд, аз ҷониби онҳое ки аз ҷониби Дониёл муаррифӣ шудаанд, дида шаванд. Онҳо озмуда мешаванд, то маълум гардад, ки оё онҳо он усули илоҳиро интихоб кардаанд, ки ба онҳо имкон медиҳад озмоиши суратро, ки дар торикӣ пинҳон аст, бубинанд. Озмоиши онҳо фурӯтании шахсӣ ва эътирофро дар бар мегирад. Он эътирофи онро дар бар мегирад, ки ба Дониёл дар хобҳо ва рӯъёҳо фаҳмиш дода шуда буд, зеро агар онҳо аз шунидани овози Дониёл, ки дар биёбон нидо мекунад, сар печанд, ин мисли он аст, ки касоне, ки дар айёми Масеҳ паёми Яҳёи Таъмиддиҳандаро рад карданд.</w:t>
      </w:r>
    </w:p>
    <w:p>
      <w:pPr>
        <w:pStyle w:val="ArticleBody"/>
        <w:jc w:val="left"/>
      </w:pPr>
      <w:r>
        <w:rPr>
          <w:rFonts w:ascii="Times New Roman" w:hAnsi="Times New Roman" w:eastAsia="Times New Roman" w:cs="Times New Roman"/>
        </w:rPr>
        <w:t>Хоҳар Уайт ба мо хабар медиҳад, ки китобҳои Дониёл ва Ваҳй якдигарро такмил медиҳанд, ва калимаи «такмил», ки ӯ ба кор мебарад, маънои ба камол расониданро дорад. Дар охири моҳи июли соли 2023, Шери сибти Яҳудо ба кушодани муҳрҳои Ваҳйи Исои Масеҳ оғоз намуд, чунон ки Ӯ ваъда дода буд, ки онро каме пеш аз баста шудани давраи имтиёз анҷом хоҳад дод. Бо ин амал, Ӯ ҳақиқатҳои Китоби Муқаддасро муайян кард, ки пештар дуруст фаҳмида шуда буданд, аммо акнун мебоист дар чорчӯби айёми охир фаҳмида шаванд.</w:t>
      </w:r>
    </w:p>
    <w:p>
      <w:pPr>
        <w:pStyle w:val="ArticleBody"/>
        <w:jc w:val="left"/>
      </w:pPr>
      <w:r>
        <w:rPr>
          <w:rFonts w:ascii="Times New Roman" w:hAnsi="Times New Roman" w:eastAsia="Times New Roman" w:cs="Times New Roman"/>
        </w:rPr>
        <w:t>Яке аз он ҳақиқатҳо ду шоҳиди Ваҳй боби ёздаҳ аст. Дигараш он таърихест, ки иҷрошавии комили «ҳафт раъд»-и Ваҳй боби даҳ мебошад. Ӯ аз хатҳои муқаддаси ислоҳот ҳақиқатҳоеро ба миён овардааст, ки дар бораи ноумедии 18 июли соли 2020 сухан мегӯянд. Ӯ чор аломатеро, ки дар ҳар яке аз хатҳои муқаддаси ислоҳот ҳастанд ва таърихи қувватёбии паёми аввалро то доварӣ тасвир мекунанд, ба тарзе истифода бурдааст, ки то ин дам ҳеҷ гоҳ шинохта нашуда буд. Дониёл боби ду бисёре аз ин мафҳумҳоро ба камол мерасонад, ҳарчанд ин ҳақиқатҳои амиқ барои онҳое, ки аз хӯрдани методологияи муайяншуда ҳамчун Алфа ва Омега сарпечӣ мекунанд, дар торикӣ пинҳонанд.</w:t>
      </w:r>
    </w:p>
    <w:p>
      <w:pPr>
        <w:pStyle w:val="ArticleBody"/>
        <w:jc w:val="left"/>
      </w:pPr>
      <w:r>
        <w:rPr>
          <w:rFonts w:ascii="Times New Roman" w:hAnsi="Times New Roman" w:eastAsia="Times New Roman" w:cs="Times New Roman"/>
        </w:rPr>
        <w:t>Дар анҷоми ин омӯзиши боби дуюми Дониёл, мо баъзе аз ҳақиқатҳо ва аломатҳои роҳро, ки ба воситаи боби дуюми Дониёл ба камол расонда мешаванд, ҷамъбаст намуда, бо ҳам мепайвандем. Бо ин кор, мо муайян месозем, ки он сирре, ки дар рӯъёи шабона ба Дониёл ошкор карда шуд, маҳз ҳамин ҳақиқатҳоро намояндагӣ мекунад.</w:t>
      </w:r>
    </w:p>
    <w:p>
      <w:pPr>
        <w:pStyle w:val="ArticleBody"/>
        <w:jc w:val="left"/>
      </w:pPr>
      <w:r>
        <w:rPr>
          <w:rFonts w:ascii="Times New Roman" w:hAnsi="Times New Roman" w:eastAsia="Times New Roman" w:cs="Times New Roman"/>
        </w:rPr>
        <w:t>Мо хулоса ва натиҷаро дар мақолаи оянда баён хоҳем кард.</w:t>
      </w:r>
    </w:p>
    <w:p>
      <w:pPr>
        <w:pStyle w:val="ArticleScripture"/>
        <w:jc w:val="left"/>
      </w:pPr>
      <w:r>
        <w:rPr>
          <w:rFonts w:ascii="Times New Roman" w:hAnsi="Times New Roman" w:eastAsia="Times New Roman" w:cs="Times New Roman"/>
        </w:rPr>
        <w:t>«Худованд воситаҳои муқарраршудаи Худро дорад, то бо мардум дар хатогиҳо ва бозгаштҳояшон рӯ ба рӯ шавад. Паёмрасони Ӯ фиристода мешаванд, то шаҳодати равшану ошкоро биёранд, онҳоро аз ҳолати хоболудаашон бедор созанд ва суханони гаронбаҳои ҳаёт, яъне Навиштаҳои Муқаддасро, барои фаҳмиши онҳо бикшоянд. Ин одамон набояд танҳо воизон бошанд, балки ходимон, барандагони нур, посбонони вафодор бошанд, ки хатари таҳдидкунандаро хоҳанд дид ва мардумро огоҳ хоҳанд кард. Онҳо бояд ба Масеҳ дар ғайрати ҷиддиашон, дар ҳикмати мулоҳизакоронаашон, дар кӯшишҳои шахсиашон — кӯтоҳ карда гӯем, дар тамоми хизмати худ — монанд бошанд. Онҳо бояд бо Худо иртиботи зинда дошта бошанд ва бояд бо пешгӯиҳо ва дарсҳои амалии Аҳди Қадим ва Аҳди Ҷадид чунон ошно гарданд, ки тавонанд аз ганҷинаи каломи Худо чизҳои нав ва кӯҳнаро бароранд». Шаҳодатҳо, ҷилди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Сездаҳ</dc:title>
  <dc:subject>Сирри айёми охирзамон</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