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Яксаду панҷоҳу шашум</w:t>
      </w:r>
    </w:p>
    <w:p>
      <w:pPr>
        <w:pStyle w:val="ArticleSubtitle"/>
        <w:jc w:val="left"/>
      </w:pPr>
      <w:r>
        <w:rPr>
          <w:rFonts w:ascii="Arial" w:hAnsi="Arial" w:eastAsia="Arial" w:cs="Arial"/>
        </w:rPr>
        <w:t>Ошкор сохтани рӯъёи охирини Дониёл: Нигоҳе аз дидгоҳи миллеритӣ ба ҳақоиқи нубувватӣ барои имрӯз</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Мо баррасии рӯъёи охирини Дониёлро бо татбиқи он усуле оғоз мекунем, ки Алфа ва Омега онро ифода мекунад, яъне ин ки Ӯ ҳамеша анҷомро бо оғоз мушаххас месозад. Бинобар ин, Белтешатсар, ки дар ояти аввали рӯъёи охирини Дониёл ҳамон Дониёл аст, дар қисми охирини ҳамон рӯъё низ ифода ёфтааст. Мо муайян кардаем, ки Белтешатсар қавми аҳди Худоро дар рӯзҳои охир ифода мекунад, ки «chazon», яъне рӯъёи таърихи нубувватиро, тавре ки бо калимаи «thing» дар ояти якум ифода шудааст, дарк мекунанд. Он рӯъёи таърихи нубувватӣ ҳамон «ҳафт замон»-и Ибодат 26 аст, ки ба ду ҳазору панҷсаду бист сол баробар мебошад. Белтешатсар инчунин «vision»-ро дар ояти якум мефаҳмад, ки он рӯъёи «mareh»-и ду ҳазору сесадсола аст ва зуҳури ногаҳонии Масеҳро ифода мекунад.</w:t>
      </w:r>
    </w:p>
    <w:p>
      <w:pPr>
        <w:pStyle w:val="ArticleBody"/>
        <w:jc w:val="left"/>
      </w:pPr>
      <w:r>
        <w:rPr>
          <w:rFonts w:ascii="Times New Roman" w:hAnsi="Times New Roman" w:eastAsia="Times New Roman" w:cs="Times New Roman"/>
        </w:rPr>
        <w:t>Дар боби дувоздаҳум, Дониёл ҳаракати фариштаи якумро ҳамчунин ҳаракати фариштаи сеюмро намояндагӣ мекунад, зеро ҳар ду ҳаракат масали даҳ бокираро ба амал меоранд. Дар боби дувоздаҳум ақаллан панҷ ҳақиқат вуҷуд дорад, ки қисми ҳаракати миллерӣ буданд ва ҳақиқатҳоеро намояндагӣ мекунанд, ки ҳаракати фариштаи сеюм низ бояд онҳоро таҷриба кунад ва дарк намояд. Ҳар ду ҳаракат масали даҳ бокираро ба амал меоранд, ва аз бокираҳои донои ҳар ду ҳаракат талаб карда мешавад, ки он воқеияти нубувватиро дарк кунанд. Ҳар ду ҳаракат бояд аввалин ҳақиқати нубувватиро, ки Миллер ба дарки он роҳнамун шуд, бифаҳманд, чунон ки он дар «ҳафт замон»-и Ибодат 26 ифода ёфтааст. Се таҷриба ва фаҳмиши мувозии дигари он дар чанд ояти охири боб ёфт мешаванд.</w:t>
      </w:r>
    </w:p>
    <w:p>
      <w:pPr>
        <w:pStyle w:val="ArticleScripture"/>
        <w:jc w:val="left"/>
      </w:pPr>
      <w:r>
        <w:rPr>
          <w:rFonts w:ascii="Times New Roman" w:hAnsi="Times New Roman" w:eastAsia="Times New Roman" w:cs="Times New Roman"/>
        </w:rPr>
        <w:t>Ва аз вақти бардошта шудани қурбонии доимӣ ва барпо гардонидани макрӯҳи вайронакунанда, ҳазору дусаду навад рӯз хоҳад буд. Хушо касе ки интизорӣ кашад ва ба ҳазору сесаду сию панҷ рӯз бирасад. Аммо ту то охир роҳи худро пеш гир; зеро ту ором хоҳӣ гирифт ва дар охири рӯзҳо дар қуръаи худ хоҳӣ истод. Дониёл 12:11–13.</w:t>
      </w:r>
    </w:p>
    <w:p>
      <w:pPr>
        <w:pStyle w:val="ArticleBody"/>
        <w:jc w:val="left"/>
      </w:pPr>
      <w:r>
        <w:rPr>
          <w:rFonts w:ascii="Times New Roman" w:hAnsi="Times New Roman" w:eastAsia="Times New Roman" w:cs="Times New Roman"/>
        </w:rPr>
        <w:t>Қавми боқимондаи Худо дар китоби Ваҳй дорои се хусусияти асосии нубувватист. Онҳо аҳкоми Худоро риоя мекунанд, имони Исоро доранд ва Рӯҳи Нубувватро нигоҳ медоранд.</w:t>
      </w:r>
    </w:p>
    <w:p>
      <w:pPr>
        <w:pStyle w:val="ArticleScripture"/>
        <w:jc w:val="left"/>
      </w:pPr>
      <w:r>
        <w:rPr>
          <w:rFonts w:ascii="Times New Roman" w:hAnsi="Times New Roman" w:eastAsia="Times New Roman" w:cs="Times New Roman"/>
        </w:rPr>
        <w:t>Ва ба ман гуфт: «Бинавис: хушо ҳоли онҳое ки ба зиёфати арӯсии Барра даъват шудаанд». Ва ба ман гуфт: «Инҳо суханони ҳақиқии Худо мебошанд». Ва ман назди пойҳои ӯ афтодам, то ӯро парастиш намоям. Ва ӯ ба ман гуфт: «Мабодо чунин кунӣ: ман ҳаммисли ту хизматгори ҳамроҳам, ва аз бародарони ту, ки шаҳодати Исо доранд: Худоро парастиш намо; зеро шаҳодати Исо рӯҳи нубувват аст». Ваҳй 19:9, 10.</w:t>
      </w:r>
    </w:p>
    <w:p>
      <w:pPr>
        <w:pStyle w:val="ArticleBody"/>
        <w:jc w:val="left"/>
      </w:pPr>
      <w:r>
        <w:rPr>
          <w:rFonts w:ascii="Times New Roman" w:hAnsi="Times New Roman" w:eastAsia="Times New Roman" w:cs="Times New Roman"/>
        </w:rPr>
        <w:t>Миллерчиён дуруст дарк карда буданд, ки «қурбонии доимӣ» дар китоби Дониёл рамзи бутпарастӣ буд, ва «вақте ки қурбонии доимӣ» «бардошта шуд», соли 508 буд. Рад кардани ин ҳақиқат, рад кардани ҳокимияти «шаҳодати Исо» аст, ки «рӯҳи нубувват» мебошад; зеро Рӯҳи Нубувват ошкоро муайян месозад, ки Миллерчиён дар фаҳмиши худ оид ба «қурбонии доимӣ» дуруст буданд.</w:t>
      </w:r>
    </w:p>
    <w:p>
      <w:pPr>
        <w:pStyle w:val="ArticleScripture"/>
        <w:jc w:val="left"/>
      </w:pPr>
      <w:r>
        <w:rPr>
          <w:rFonts w:ascii="Times New Roman" w:hAnsi="Times New Roman" w:eastAsia="Times New Roman" w:cs="Times New Roman"/>
        </w:rPr>
        <w:t>«Пас ман нисбат ба “Ҳамарӯза” дидам, ки калимаи “қурбонӣ”-ро хиради инсонӣ илова кардааст, ва он ба матн тааллуқ надорад; ва ки Худованд фаҳмиши дурусти онро ба онҳое дод, ки нидои соати довариро эълон карданд. Вақте ки ягонагӣ вуҷуд дошт, пеш аз соли 1844, қариб ҳама бар фаҳмиши дурусти “Ҳамарӯза” муттаҳид буданд; аммо аз соли 1844, дар миёни ошуфтагӣ, назарҳои дигар пазируфта шуданд, ва торикӣ ва ошуфтагӣ аз пайи он омаданд». Review and Herald, November 1, 1850.</w:t>
      </w:r>
    </w:p>
    <w:p>
      <w:pPr>
        <w:pStyle w:val="ArticleBody"/>
        <w:jc w:val="left"/>
      </w:pPr>
      <w:r>
        <w:rPr>
          <w:rFonts w:ascii="Times New Roman" w:hAnsi="Times New Roman" w:eastAsia="Times New Roman" w:cs="Times New Roman"/>
        </w:rPr>
        <w:t>Миллериён дарк карданд, ки муқовимати бутпарастӣ бар зидди ба қудрат расидани папагӣ дар соли 538, дар соли 508 бардошта шуд. Миллериён дуруст буданд, аммо фаҳмиши онҳо маҳдуд буд. Қавми рӯзҳои охири Худо, ки дар ояти якум бо Белтешатсар намояндагӣ шудаанд, хоҳанд дид, ки аз соли 508 то 538 як давраи пешгӯёнаеро ифода мекунад, ки намунаи он сӣ соли омодагӣ дар таърихи Масеҳ буд, ки пеш аз қувватёбии Ӯ ҳангоми таъмиди Ӯ гузашта буд. Онҳо хоҳанд дид, ки ин давраи пешгӯёна ҳамчунин давраи пешгӯёна аз 1776 то 1798-ро ифода мекунад, ва ҳар се аз он давраҳо замони мӯҳргузории яксаду чилу чаҳор ҳазорро ифода мекунанд, ки аз 11 сентябри соли 2001 оғоз ёфта, бо қонуни якшанбеи ба зудӣ фарорасанда анҷом меёбад.</w:t>
      </w:r>
    </w:p>
    <w:p>
      <w:pPr>
        <w:pStyle w:val="ArticleBody"/>
        <w:jc w:val="left"/>
      </w:pPr>
      <w:r>
        <w:rPr>
          <w:rFonts w:ascii="Times New Roman" w:hAnsi="Times New Roman" w:eastAsia="Times New Roman" w:cs="Times New Roman"/>
        </w:rPr>
        <w:t>Дар боби дувоздаҳум, Дониёл миллериёнро ва он панҷ ҳақиқати муҳим ва таҷрибаҳоеро намояндагӣ мекунад, ки бояд дар касоне, ки Балшасар онҳоро намояндагӣ мекунад, такрор шаванд. Ҳақиқат ва таҷрибаи сеюми миллериён «назари дуруст дар бораи “доимӣ”, … ки Худованд … ба онҳое дод, ки нидои соати довариро эълон мекарданд» мебошад. Рад кардани он ҳақиқат, рад кардани навиштаҳои Эллен Уайт аст, ки ҳамон Рӯҳи Нубувват мебошад. Ҳақиқат ва таҷрибаи чоруми миллериён ва фиристодагони фариштаи сеюм, нубуввати ҳазору сесаду сию панҷ сол аст, ки аз ҳамон соле оғоз ёфт, ки «доимӣ» гирифта шуд, яъне дар соли 508.</w:t>
      </w:r>
    </w:p>
    <w:p>
      <w:pPr>
        <w:pStyle w:val="ArticleBody"/>
        <w:jc w:val="left"/>
      </w:pPr>
      <w:r>
        <w:rPr>
          <w:rFonts w:ascii="Times New Roman" w:hAnsi="Times New Roman" w:eastAsia="Times New Roman" w:cs="Times New Roman"/>
        </w:rPr>
        <w:t>Аз соли 508 оғоз намуда, як ҳазору сесаду сию панҷ сол шуморо ба 1843 меорад, аммо на танҳо ба 1843, зеро нубувват дар асл маҳз ба рӯзи охирини соли 1843 ишора мекунад; зеро он мегӯяд: «Хушо касе ки мунтазир монад, ва ба ҳазору сесаду сию панҷ рӯз бирасад». Калимаи ибронӣ, ки ҳамчун «бирасад» тарҷума шудааст, «naga» аст, ва маънои он «даст расондан» ё «даст ниҳодан бар» мебошад. Бинобар ин, нубувват чунин маъно медиҳад: «хушо касе ки мунтазир монад, ва» ба 1843 даст расонад ё бар он даст ниҳад.</w:t>
      </w:r>
    </w:p>
    <w:p>
      <w:pPr>
        <w:pStyle w:val="ArticleBody"/>
        <w:jc w:val="left"/>
      </w:pPr>
      <w:r>
        <w:rPr>
          <w:rFonts w:ascii="Times New Roman" w:hAnsi="Times New Roman" w:eastAsia="Times New Roman" w:cs="Times New Roman"/>
        </w:rPr>
        <w:t>Баракати интизорӣ дар таърихи миллеритӣ барои он бокираҳои ҳушёре буд, ки ноумедии аввалро аз сар гузарониданд, вале барои рӯъёе ки таъхир мекард, мунтазир монданд. Ҳангоме ки миллеритҳо дар иҷрои масали даҳ бокира ва боби дуюми Ҳабаққуқ барои «рӯъёе ки таъхир мекард» мунтазир шуданд, онҳо муборак гардиданд. Дар он замони таъхир онҳо баъд фаҳмиданд, ки худи онҳо масалро ба иҷро мерасонанд, ва ки дар охир рӯъё «сухан хоҳад гуфт». Замони таъхири онҳо ва ноумедии онҳо бар муайянсозии нодурусте асос ёфта буд, ки ду ҳазору сесад сол дар соли 1843 ба анҷом хоҳад расид, аммо рӯъё дар асл барои соли 1844 буд. Ноумедии онҳо бар таҷрибаи онҳо асос ёфта буд, ки ҳангоме падид омада буд, ки соли 1843 бе бозгашти Масеҳ ба анҷом расид. Ноумедии онҳо ва баракате ки бар онҳое эълон карда шуд, ки баъд аз он интихоб карданд интизор бимонанд, ҳамааш бар худи рӯзи охирини соли 1843 асос ёфта буд, ки ба 1844 «мерасад» ё «меояд».</w:t>
      </w:r>
    </w:p>
    <w:p>
      <w:pPr>
        <w:pStyle w:val="ArticleBody"/>
        <w:jc w:val="left"/>
      </w:pPr>
      <w:r>
        <w:rPr>
          <w:rFonts w:ascii="Times New Roman" w:hAnsi="Times New Roman" w:eastAsia="Times New Roman" w:cs="Times New Roman"/>
        </w:rPr>
        <w:t>Таҷрибаи ноумедии аввал, ҳамчун иҷрои масали даҳ бокира, дар касоне, ки Белтешатсар намояндагӣ мекунад, фаҳмида мешавад ва такрор мегардад. Ҳақиқат ва таҷрибаи панҷуме, ки аз ҷониби касоне, ки Белтешатсар намояндагӣ мекунад, шинохта хоҳад шуд, ин аст, ки дар «интиҳои айём» Дониёл «дар қуръаи худ хоҳад истод».</w:t>
      </w:r>
    </w:p>
    <w:p>
      <w:pPr>
        <w:pStyle w:val="ArticleScripture"/>
        <w:jc w:val="left"/>
      </w:pPr>
      <w:r>
        <w:rPr>
          <w:rFonts w:ascii="Times New Roman" w:hAnsi="Times New Roman" w:eastAsia="Times New Roman" w:cs="Times New Roman"/>
        </w:rPr>
        <w:t>«Дониёл аз ҳамон вақте ки мӯҳр бардошта шуд ва нури ҳақиқат бар рӯъёҳои ӯ дурахшидан гирифт, дар қисмати худ истодааст. Ӯ дар қисмати худ меистад ва он шаҳодатеро ба дӯш дорад, ки бояд дар охири айём фаҳмида мешуд». Sermons and Talks, volume 1, 225, 226.</w:t>
      </w:r>
    </w:p>
    <w:p>
      <w:pPr>
        <w:pStyle w:val="ArticleBody"/>
        <w:jc w:val="left"/>
      </w:pPr>
      <w:r>
        <w:rPr>
          <w:rFonts w:ascii="Times New Roman" w:hAnsi="Times New Roman" w:eastAsia="Times New Roman" w:cs="Times New Roman"/>
        </w:rPr>
        <w:t>Миллериён раванди покшавиро таҷриба карданд, ки он ба воситаи афзоиши дониш, ки аз китоби Дониёл ҳангоми муҳраш кушода шуданаш дар соли 1798 омад, ба амал расид. Онҳое ки бо Белтешаззар намояндагӣ шудаанд, раванди покшавиро таҷриба хоҳанд кард, ки он ба воситаи афзоиши дониш, ки аз китоби Дониёл ҳангоми муҳраш кушода шуданаш дар соли 1989 омад, ба амал расид. Онҳо ҳамчунин хоҳанд фаҳмид, ки китоби Дониёл дар муҳр задани яксаду чилу чор ҳазор мақсади махсус дорад.</w:t>
      </w:r>
    </w:p>
    <w:p>
      <w:pPr>
        <w:pStyle w:val="ArticleScripture"/>
        <w:jc w:val="left"/>
      </w:pPr>
      <w:r>
        <w:rPr>
          <w:rFonts w:ascii="Times New Roman" w:hAnsi="Times New Roman" w:eastAsia="Times New Roman" w:cs="Times New Roman"/>
        </w:rPr>
        <w:t>«Ҳангоме ки Худо ба инсон кори махсусе месупорад, ӯ бояд, чунон ки Дониёл кард, дар ҳисса ва ҷойи худ устувор биистад, омода бошад ба даъвати Худо ҷавоб диҳад, омода бошад мақсади Ӯро ба ҷо оварад». Manuscript Releases, ҷилди 6, 108.</w:t>
      </w:r>
    </w:p>
    <w:p>
      <w:pPr>
        <w:pStyle w:val="ArticleBody"/>
        <w:jc w:val="left"/>
      </w:pPr>
      <w:r>
        <w:rPr>
          <w:rFonts w:ascii="Times New Roman" w:hAnsi="Times New Roman" w:eastAsia="Times New Roman" w:cs="Times New Roman"/>
        </w:rPr>
        <w:t>Ҳамчун собиқ лоадиқиён, онҳое ки бо Белтешассар намояндагӣ шудаанд, дарк хоҳанд кард, ки маҳз ба воситаи китобҳои Дониёл ва Ваҳй, ки як ҳамон китобанд, эҳёи ниҳоӣ ба анҷом расонида мешавад.</w:t>
      </w:r>
    </w:p>
    <w:p>
      <w:pPr>
        <w:pStyle w:val="ArticleScripture"/>
        <w:jc w:val="left"/>
      </w:pPr>
      <w:r>
        <w:rPr>
          <w:rFonts w:ascii="Times New Roman" w:hAnsi="Times New Roman" w:eastAsia="Times New Roman" w:cs="Times New Roman"/>
        </w:rPr>
        <w:t>«Ҳангоме ки китобҳои Дониёл ва Ваҳй беҳтар дарк карда шаванд, имондорон таҷрибаи динии комилан дигар хоҳанд дошт... Як чиз аз мутолиаи Ваҳй, албатта, фаҳмида хоҳад шуд,—ин ки робитаи миёни Худо ва қавми Ӯ наздик ва қатъист». The Faith I Live By, 345.</w:t>
      </w:r>
    </w:p>
    <w:p>
      <w:pPr>
        <w:pStyle w:val="ArticleBody"/>
        <w:jc w:val="left"/>
      </w:pPr>
      <w:r>
        <w:rPr>
          <w:rFonts w:ascii="Times New Roman" w:hAnsi="Times New Roman" w:eastAsia="Times New Roman" w:cs="Times New Roman"/>
        </w:rPr>
        <w:t>Ҳамчун собиқ Лаодикиён, онҳо ҳолати Лаодикиёнии худро дарк хоҳанд кард ва эътироф хоҳанд намуд, ки аз ҷиҳати рӯҳонӣ чун водии устухонҳои хушк мурда буданд; ва дар посух ба шаҳодати рост дар бораи ҳолати мурда ва гумшудаи худ, онҳо зарурати зинда буданро ҳамчун авлавияти аввал дарк хоҳанд кард.</w:t>
      </w:r>
    </w:p>
    <w:p>
      <w:pPr>
        <w:pStyle w:val="ArticleScripture"/>
        <w:jc w:val="left"/>
      </w:pPr>
      <w:r>
        <w:rPr>
          <w:rFonts w:ascii="Times New Roman" w:hAnsi="Times New Roman" w:eastAsia="Times New Roman" w:cs="Times New Roman"/>
        </w:rPr>
        <w:t>«Эҳёи парҳезгории ҳақиқӣ дар миёни мо бузургтарин ва таъҷилитарин аз ҳамаи ниёзҳои мост. Ҷустуҷӯи ин бояд аввалин кори мо бошад». Selected Messages, book 1, 121.</w:t>
      </w:r>
    </w:p>
    <w:p>
      <w:pPr>
        <w:pStyle w:val="ArticleBody"/>
        <w:jc w:val="left"/>
      </w:pPr>
      <w:r>
        <w:rPr>
          <w:rFonts w:ascii="Times New Roman" w:hAnsi="Times New Roman" w:eastAsia="Times New Roman" w:cs="Times New Roman"/>
        </w:rPr>
        <w:t>Ваъдаи Китоби Муқаддас ин аст, ки ҳар кӣ ҷӯё шавад, хоҳад ёфт, ва он гоҳ Рӯҳулқудс онҳоро роҳнамоӣ хоҳад кард, то дарк намоянд, ки маҳз китобҳои Дониёл ва Ваҳй он эҳёи заруриро ба вуҷуд меоранд.</w:t>
      </w:r>
    </w:p>
    <w:p>
      <w:pPr>
        <w:pStyle w:val="ArticleScripture"/>
        <w:jc w:val="left"/>
      </w:pPr>
      <w:r>
        <w:rPr>
          <w:rFonts w:ascii="Times New Roman" w:hAnsi="Times New Roman" w:eastAsia="Times New Roman" w:cs="Times New Roman"/>
        </w:rPr>
        <w:t>«Вақте ки мо, ҳамчун қавм, мефаҳмем, ки ин китоб барои мо чӣ маъно дорад, дар миёни мо эҳёи бузурге дида хоҳад шуд». Testimonies to Ministers, 113.</w:t>
      </w:r>
    </w:p>
    <w:p>
      <w:pPr>
        <w:pStyle w:val="ArticleBody"/>
        <w:jc w:val="left"/>
      </w:pPr>
      <w:r>
        <w:rPr>
          <w:rFonts w:ascii="Times New Roman" w:hAnsi="Times New Roman" w:eastAsia="Times New Roman" w:cs="Times New Roman"/>
        </w:rPr>
        <w:t>Анҷоми рӯъёи охирини Дониёл, чунон ки дар боби дувоздаҳум ба тасвир омадааст, таҷрибаеро муайян мекунад, ки қавми аҳди Худоро дар рӯзҳои охир ба вуҷуд меоварад, ки дар ояти аввали рӯъёи охирин бо Белтешассар муаррифӣ шудааст. Дар он ҷо Дониёл, ки ҳамчун Белтешассар намояндагӣ мешавад, ҳам рӯъёи дохилии ду ҳазору сесад сол ва ҳам рӯъёи хориҷии ду ҳазору панҷсаду бист солро мефаҳмад. Ӯ ҳам «он чиз»-ро ва ҳам «рӯъё»-ро мефаҳмад. Ӯ ҳам рӯъёи chazon ва ҳам рӯъёи mareh-ро мефаҳмад. Ӯ ҳам поймол гардидани муқаддасгоҳ ва лашкарро, ва ҳам барқароршавии муқаддасгоҳ ва лашкарро мефаҳмад. Ӯ ҳам рӯъёҳои дарёи Улай ва ҳам дарёи Ҳиддеқалро мефаҳмад.</w:t>
      </w:r>
    </w:p>
    <w:p>
      <w:pPr>
        <w:pStyle w:val="ArticleBody"/>
        <w:jc w:val="left"/>
      </w:pPr>
      <w:r>
        <w:rPr>
          <w:rFonts w:ascii="Times New Roman" w:hAnsi="Times New Roman" w:eastAsia="Times New Roman" w:cs="Times New Roman"/>
        </w:rPr>
        <w:t>Мо ин таҳқиқотро дар мақолаи навбатӣ идома хоҳем дод.</w:t>
      </w:r>
    </w:p>
    <w:p>
      <w:pPr>
        <w:pStyle w:val="ArticleScripture"/>
        <w:jc w:val="left"/>
      </w:pPr>
      <w:r>
        <w:rPr>
          <w:rFonts w:ascii="Times New Roman" w:hAnsi="Times New Roman" w:eastAsia="Times New Roman" w:cs="Times New Roman"/>
        </w:rPr>
        <w:t>«Ба омӯзиши хеле наздиктари каломи Худо ниёз ҳаст; махсусан бояд ба Дониёл ва Ваҳй чунон таваҷҷуҳ шавад, ки дар таърихи кори мо ҳаргиз пеш аз ин нашуда буд. Эҳтимол аст, ки мо дар баъзе самтҳо дар бораи қудрати Рум ва папагӣ камтар сухан гӯем; аммо бояд диққатро ба он чи анбиё ва расулон зери илҳоми Рӯҳи Муқаддаси Худо навиштаанд, ҷалб намоем. Рӯҳи Муқаддас ҷараёни корҳоро, ҳам дар ато шудани нубувват ва ҳам дар воқеаҳое, ки тасвир шудаанд, чунон шакл додааст, ки биёмӯзонад: омили инсонӣ бояд аз назар дур нигоҳ дошта шавад, дар Масеҳ ниҳон бошад, ва Худованд Худои осмон ва шариати Ӯ бояд болобардошта шаванд. Китоби Дониёлро бихонед. Таърихи подшоҳиҳоеро, ки дар он ҷо тасвир ёфтаанд, нукта ба нукта ба ёд оваред. Давлатмардон, шӯроҳо, лашкарҳои пуриқтидорро бубинед ва назар кунед, ки чӣ гуна Худо амал кард, то такаббури одамонро фурӯ нишонад ва ҷалоли инсониро ба хок афканад….»</w:t>
      </w:r>
    </w:p>
    <w:p>
      <w:pPr>
        <w:pStyle w:val="ArticleScripture"/>
        <w:jc w:val="left"/>
      </w:pPr>
      <w:r>
        <w:rPr>
          <w:rFonts w:ascii="Times New Roman" w:hAnsi="Times New Roman" w:eastAsia="Times New Roman" w:cs="Times New Roman"/>
        </w:rPr>
        <w:t>«Нуре ки Дониёл аз Худо қабул кард, махсусан барои ҳамин рӯзҳои охир дода шуда буд. Рӯъёҳое, ки ӯ назди соҳилҳои Ӯлой ва Ҳиддакел, он дарёҳои бузурги Шинор, дид, ҳоло дар ҳоли иҷро шудан мебошанд, ва ҳамаи воқеаҳое ки пешгӯӣ шуда буданд, ба зудӣ ба вуқӯъ хоҳанд пайваст.</w:t>
      </w:r>
    </w:p>
    <w:p>
      <w:pPr>
        <w:pStyle w:val="ArticleScripture"/>
        <w:jc w:val="left"/>
      </w:pPr>
      <w:r>
        <w:rPr>
          <w:rFonts w:ascii="Times New Roman" w:hAnsi="Times New Roman" w:eastAsia="Times New Roman" w:cs="Times New Roman"/>
        </w:rPr>
        <w:t>«Ба шароити қавми яҳудӣ дар он замоне, ки нубувватҳои Дониёл дода шуданд, таваҷҷӯҳ намоед.</w:t>
      </w:r>
    </w:p>
    <w:p>
      <w:pPr>
        <w:pStyle w:val="ArticleScripture"/>
        <w:jc w:val="left"/>
      </w:pPr>
      <w:r>
        <w:rPr>
          <w:rFonts w:ascii="Times New Roman" w:hAnsi="Times New Roman" w:eastAsia="Times New Roman" w:cs="Times New Roman"/>
        </w:rPr>
        <w:t>«Биёед барои омӯзиши Китоби Муқаддас вақти бештар ҷудо кунем. Мо каломро ончунон ки бояд, дарк намекунем. Китоби Ваҳй бо амре ба мо оғоз меёбад, ки дастуроти дар он бударо бифаҳмем. “Хушо касе ки мехонад, ва онҳое ки суханони ин нубувватро мешунаванд,” Худо эълон мекунад, “ва он чиро ки дар он навишта шудааст, риоя мекунанд: зеро вақт наздик аст.” Ҳангоме ки мо, ҳамчун қавм, мефаҳмем, ки ин китоб барои мо чӣ маъно дорад, дар миёни мо эҳёи бузурге дида хоҳад шуд. Мо дарсҳоеро, ки он таълим медиҳад, ба таври комил намефаҳмем, сарфи назар аз амре ки ба мо дода шудааст, то онро ҷустуҷӯ ва омӯзиш кунем.»</w:t>
      </w:r>
    </w:p>
    <w:p>
      <w:pPr>
        <w:pStyle w:val="ArticleScripture"/>
        <w:jc w:val="left"/>
      </w:pPr>
      <w:r>
        <w:rPr>
          <w:rFonts w:ascii="Times New Roman" w:hAnsi="Times New Roman" w:eastAsia="Times New Roman" w:cs="Times New Roman"/>
        </w:rPr>
        <w:t>«Дар гузашта муаллимон эълон мекарданд, ки китобҳои Дониёл ва Ваҳй мӯҳршудаанд, ва мардум аз онҳо рӯй мегардониданд. Худо бо дасти Худ пардаеро, ки асрори зоҳириаш бисёриҳоро аз бардоштани он бозмедошт, аз ин қисматҳои Каломи Худ дур кардааст. Худи номи «Ваҳй» ба даъвое, ки он китоби мӯҳршуда аст, мухолифат мекунад. «Ваҳй» маънои онро дорад, ки чизи муҳиме ошкор карда мешавад. Ҳақоиқи ин китоб ба касоне муроҷиат мекунанд, ки дар ин айёми охир зиндагӣ доранд. Мо, бо пардаи бардошташуда, дар макони муқаддаси умури муқаддас меистем. Мо набояд дар берун истем. Мо бояд дохил шавем, на бо андешаҳои бепарвоёна ва беҳурмат, на бо қадамҳои шитобкорона, балки бо эҳтиром ва тарси илоҳӣ. Мо ба замоне наздик мешавем, ки пешгӯиҳои китоби Ваҳй бояд ба иҷро оянд….»</w:t>
      </w:r>
    </w:p>
    <w:p>
      <w:pPr>
        <w:pStyle w:val="ArticleScripture"/>
        <w:jc w:val="left"/>
      </w:pPr>
      <w:r>
        <w:rPr>
          <w:rFonts w:ascii="Times New Roman" w:hAnsi="Times New Roman" w:eastAsia="Times New Roman" w:cs="Times New Roman"/>
        </w:rPr>
        <w:t>«Мо аҳкоми Худо ва шаҳодати Исои Масеҳро дорем, ки он рӯҳи нубувват аст. Дар каломи Худо гавҳарҳои бебаҳо ёфт мешаванд. Онҳое ки ин каломро меҷӯянд, бояд зеҳни худро равшан нигоҳ доранд. Онҳо ҳаргиз набояд дар хӯрдан ё нӯшидан ба иштиҳои фосид дода шаванд.</w:t>
      </w:r>
    </w:p>
    <w:p>
      <w:pPr>
        <w:pStyle w:val="ArticleScripture"/>
        <w:jc w:val="left"/>
      </w:pPr>
      <w:r>
        <w:rPr>
          <w:rFonts w:ascii="Times New Roman" w:hAnsi="Times New Roman" w:eastAsia="Times New Roman" w:cs="Times New Roman"/>
        </w:rPr>
        <w:t>«Агар онҳо чунин кунанд, мағзи сар парешон хоҳад шуд; онҳо қодир нахоҳанд буд фишори ковиши амиқро, барои дарёфт кардани маънои он чизҳое, ки ба саҳнаҳои хотимавии таърихи ин замин тааллуқ доранд, таҳаммул намоянд.</w:t>
      </w:r>
    </w:p>
    <w:p>
      <w:pPr>
        <w:pStyle w:val="ArticleScripture"/>
        <w:jc w:val="left"/>
      </w:pPr>
      <w:r>
        <w:rPr>
          <w:rFonts w:ascii="Times New Roman" w:hAnsi="Times New Roman" w:eastAsia="Times New Roman" w:cs="Times New Roman"/>
        </w:rPr>
        <w:t>«Вақте ки китобҳои Дониёл ва Ваҳй беҳтар фаҳмида шаванд, имондорон таҷрибаи тамоман дигаргуни диниро хоҳанд дошт. Ба онҳо чунин манзараҳое аз дарвозаҳои кушодаи осмон ато хоҳад шуд, ки дил ва зеҳн аз он хислате, ки ҳама бояд онро инкишоф диҳанд, то ба саодате, ки бояд мукофоти покдилон бошад, ноил гарданд, мутаассир хоҳанд шуд.</w:t>
      </w:r>
    </w:p>
    <w:p>
      <w:pPr>
        <w:pStyle w:val="ArticleScripture"/>
        <w:jc w:val="left"/>
      </w:pPr>
      <w:r>
        <w:rPr>
          <w:rFonts w:ascii="Times New Roman" w:hAnsi="Times New Roman" w:eastAsia="Times New Roman" w:cs="Times New Roman"/>
        </w:rPr>
        <w:t>«Худованд ҳамаи онҳоеро баракат хоҳад дод, ки бо фурӯтанӣ ва ҳалимӣ хоҳанд кӯшид он чиро, ки дар Китоби Ваҳй ошкор гардидааст, дарк намоянд. Ин китоб он қадар бисёр чизҳоро дар бар дорад, ки аз ҷовидонагӣ саршор ва аз ҷалол пур аст, ба тавре ки ҳамаи онҳое, ки онро мехонанд ва бо ҷидду ҷаҳд меомӯзанд, он баракатеро дарёфт мекунанд, ки барои «онҳое ки суханони ин нубувватро мешунаванд ва он чиро, ки дар он навишта шудааст, риоя мекунанд», ваъда шудааст.»</w:t>
      </w:r>
    </w:p>
    <w:p>
      <w:pPr>
        <w:pStyle w:val="ArticleScripture"/>
        <w:jc w:val="left"/>
      </w:pPr>
      <w:r>
        <w:rPr>
          <w:rFonts w:ascii="Times New Roman" w:hAnsi="Times New Roman" w:eastAsia="Times New Roman" w:cs="Times New Roman"/>
        </w:rPr>
        <w:t>Аз омӯзиши китоби Ваҳй як чиз, бешубҳа, фаҳмида хоҳад шуд — ки пайванди миёни Худо ва қавми Ӯ наздик ва қатъист.</w:t>
      </w:r>
    </w:p>
    <w:p>
      <w:pPr>
        <w:pStyle w:val="ArticleScripture"/>
        <w:jc w:val="left"/>
      </w:pPr>
      <w:r>
        <w:rPr>
          <w:rFonts w:ascii="Times New Roman" w:hAnsi="Times New Roman" w:eastAsia="Times New Roman" w:cs="Times New Roman"/>
        </w:rPr>
        <w:t>«Дар миёни коиноти осмон ва ин ҷаҳон робитаи аҷибе дида мешавад. Он чи ба Дониёл ошкор карда шуд, баъдтар бо ваҳйе, ки ба Юҳанно дар ҷазираи Патмос дода шуд, такмил ёфт. Ин ду китоб бояд бодиққат омӯхта шаванд. Дониёл ду бор пурсид: “То анҷоми замон чӣ қадар вақт хоҳад буд?”»</w:t>
      </w:r>
    </w:p>
    <w:p>
      <w:pPr>
        <w:pStyle w:val="ArticleScripture"/>
        <w:jc w:val="left"/>
      </w:pPr>
      <w:r>
        <w:rPr>
          <w:rFonts w:ascii="Times New Roman" w:hAnsi="Times New Roman" w:eastAsia="Times New Roman" w:cs="Times New Roman"/>
        </w:rPr>
        <w:t>«Ва ман шунидам, вале нафаҳмидам; пас гуфтам: «Эй хоҷаи ман, анҷоми ин чизҳо чӣ хоҳад буд?» Ва Ӯ гуфт: «Бирав, эй Дониёл, зеро ин суханон то вақти анҷом баста ва муҳр зада шудаанд. Бисёре пок хоҳанд шуд, ва сафед гардонида хоҳанд шуд, ва имтиҳон хоҳанд шуд; вале шарирон шарорат хоҳанд кард; ва ҳеҷ яке аз шарирон нахоҳад фаҳмид; аммо хирадмандон хоҳанд фаҳмид. Ва аз вақти дур карда шудани қурбонии доимӣ ва барпо шудани зиштии вайронкунанда, як ҳазору дусаду навад рӯз хоҳад буд. Хушо касе ки интизор шавад ва ба як ҳазору сесаду сию панҷ рӯз бирасад. Аммо ту, то анҷом, роҳи худро бирав; зеро ором хоҳӣ гирифт ва дар поёни рӯзҳо дар насиби худ хоҳӣ истод.»</w:t>
      </w:r>
    </w:p>
    <w:p>
      <w:pPr>
        <w:pStyle w:val="ArticleScripture"/>
        <w:jc w:val="left"/>
      </w:pPr>
      <w:r>
        <w:rPr>
          <w:rFonts w:ascii="Times New Roman" w:hAnsi="Times New Roman" w:eastAsia="Times New Roman" w:cs="Times New Roman"/>
        </w:rPr>
        <w:t>«Ин Шери қабилаи Яҳудо буд, ки китобро боз кард ва ба Юҳанно ваҳйи он чиро, ки бояд дар ин рӯзҳои охир бошад, дод.</w:t>
      </w:r>
    </w:p>
    <w:p>
      <w:pPr>
        <w:pStyle w:val="ArticleScripture"/>
        <w:jc w:val="left"/>
      </w:pPr>
      <w:r>
        <w:rPr>
          <w:rFonts w:ascii="Times New Roman" w:hAnsi="Times New Roman" w:eastAsia="Times New Roman" w:cs="Times New Roman"/>
        </w:rPr>
        <w:t>«Дониёл дар ҳиссаи худ истода, шаҳодати худро, ки то замони интиҳо муҳр шуда буд, бардошт, вақте ки паёми фариштаи аввал бояд ба ҷаҳони мо мавъиза карда мешуд. Ин масъалаҳо дар ин рӯзҳои охир аҳамияти беинтиҳо доранд; аммо дар ҳоле ки “бисёре пок, сафед ва озмуда хоҳанд шуд”, “шарирон ба шарорат рафтор хоҳанд кард; ва ҳеҷ яке аз шарирон нахоҳад фаҳмид.” Чӣ қадар дуруст аст ин! Гуноҳ вайрон кардани шариати Худост; ва онҳое ки нурро дар бораи шариати Худо намепазиранд, мавъизаи паёмҳои фариштаи якум, дуюм ва сеюмро нахоҳанд фаҳмид. Китоби Дониёл дар Ваҳй ба Юҳанно муҳркушоӣ мешавад ва моро ба сӯи саҳнаҳои охирини таърихи ин замин пеш мебарад.</w:t>
      </w:r>
    </w:p>
    <w:p>
      <w:pPr>
        <w:pStyle w:val="ArticleScripture"/>
        <w:jc w:val="left"/>
      </w:pPr>
      <w:r>
        <w:rPr>
          <w:rFonts w:ascii="Times New Roman" w:hAnsi="Times New Roman" w:eastAsia="Times New Roman" w:cs="Times New Roman"/>
        </w:rPr>
        <w:t>«Оё бародарони мо дар хотир хоҳанд дошт, ки мо дар миёни хатарҳои рӯзҳои охир зиндагӣ мекунем? Ваҳйро дар иртибот бо Дониёл бихонед. Ин чизҳоро таълим диҳед».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Яксаду панҷоҳу шашум</dc:title>
  <dc:subject>Ошкор сохтани рӯъёи охирини Дониёл: Нигоҳе аз дидгоҳи миллеритӣ ба ҳақоиқи нубувватӣ барои имрӯз</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