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сию шашум</w:t>
      </w:r>
    </w:p>
    <w:p>
      <w:pPr>
        <w:pStyle w:val="ArticleSubtitle"/>
        <w:jc w:val="left"/>
      </w:pPr>
      <w:r>
        <w:rPr>
          <w:rFonts w:ascii="Arial" w:hAnsi="Arial" w:eastAsia="Arial" w:cs="Arial"/>
        </w:rPr>
        <w:t>Рамзпардозии нубувватии Набукаднесар: ошкор сохтани нишонаҳои таърихии ҳаракати Миллерит ва рӯъёи мӯҳршудаи дарёи Улай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Боби якуми Дониёл таърихи фариштагони якум ва дуюмро аз 11 августи соли 1840 то 22 октябри соли 1844 ифода мекунад. Боби чоруми Дониёл низ ба таърихи фариштагони якум ва дуюм аз соли 723 то милод то 22 октябри соли 1844 мепардозад. Албатта, инро бидуни методологияи борони охирин, яъне «сатр бар сатр», дидан ғайриимкон аст.</w:t>
      </w:r>
    </w:p>
    <w:p>
      <w:pPr>
        <w:pStyle w:val="ArticleBody"/>
        <w:jc w:val="left"/>
      </w:pPr>
      <w:r>
        <w:rPr>
          <w:rFonts w:ascii="Times New Roman" w:hAnsi="Times New Roman" w:eastAsia="Times New Roman" w:cs="Times New Roman"/>
        </w:rPr>
        <w:t>Набукаднесар дар боби чорум рамзи пешгӯёнаи бисёр мураккаб аст. Муҳим аст, ки ҳангоми оғоз намудани баррасии кушода шудани рӯъёи дарёи Ӯлой дар таърихи Вилям Миллер, худро ба ёд оварем, ки ӯ чиро намояндагӣ мекунад. Хоби дуюми Набукаднесар, монанди хоби дуюми Вилям Миллер, «ҳафт замон»-и Ибодатномаи Левиён, боби бисту шашумро ифода менамуд, ки ҳамон риштаи пешгӯёнаест, ки тамоми китоби Дониёлро ба ҳам мебофад. Вақте ки Дониёл хоби Набукаднесарро дар боби чорум таъбир кард, ӯ ӯро аз доварии оянда ҳушдор дод ва бо ин амал паёми фариштаи аввалро, ки дар «замони охир» дар соли 1798 ба таърих ворид гардид, намунавор сохт.</w:t>
      </w:r>
    </w:p>
    <w:p>
      <w:pPr>
        <w:pStyle w:val="ArticleBody"/>
        <w:jc w:val="left"/>
      </w:pPr>
      <w:r>
        <w:rPr>
          <w:rFonts w:ascii="Times New Roman" w:hAnsi="Times New Roman" w:eastAsia="Times New Roman" w:cs="Times New Roman"/>
        </w:rPr>
        <w:t>Вақте ки доварие, ки ба Набукаднесар аз он огоҳӣ дода шуда буд, фаро расид, он фарорасӣ 22 октябри соли 1844-ро, вақте ки доварии таҳқиқотӣ оғоз ёфт, тимсол менамуд. Дар боби чорум ҳам паёми огоҳкунандае, ки Дониёл дода буд, ва ҳам фаро расидани доварие, ки бо он паёми огоҳкунанда вобаста буд, бо калимаи «соат» ифода шудаанд. «Соат»-и доварии Набукаднесар «соат»-и доварии Худоро дар паёми фариштаи аввал намояндагӣ мекард. Он ҳамчунин «соат»-и қонуни якшанберо тимсол менамуд, вақте ки доварии иҷроии Худо оғоз меёбад. Қисмати боби чоруми Дониёл, ки фаро расидани паёми фариштаи аввалро дар соли 1798 ва фаро расидани фариштаи сеюмро дар 22 октябри соли 1844, ки бо калимаи «соат» рамзгузорӣ шудааст, намояндагӣ мекунад, баъдан такрор ва тавсеа дода мешавад. Усули такрор ва тавсеа як усули нубувватист, ки дар пешгӯйӣ борҳо рух медиҳад, вале махсусан дар китоби Дониёл.</w:t>
      </w:r>
    </w:p>
    <w:p>
      <w:pPr>
        <w:pStyle w:val="ArticleBody"/>
        <w:jc w:val="left"/>
      </w:pPr>
      <w:r>
        <w:rPr>
          <w:rFonts w:ascii="Times New Roman" w:hAnsi="Times New Roman" w:eastAsia="Times New Roman" w:cs="Times New Roman"/>
        </w:rPr>
        <w:t>Ҳамин ки Набукаднесар ба «соат»-и доварӣ, яъне ба «ҳафт замон», расид, он доварии ӯ оғоз ёфт; ва ӯ, ҳамчун подшоҳи шимол, аз он пас довариро, ки дар соли 723 то милод бар подшоҳии шимолии Исроил оварда шуда буд, намояндагӣ мекард. Ба ӯ дили ҳайвон дода шуд, ва дар нубуввати Китоби Муқаддас ҳайвон подшоҳист; ва аз соли 723 то милод то соли 1798, ӯ ду шакли бутпарастиро, ки бисёр вақт мавзӯи китоби Дониёл мебошанд, намояндагӣ мекард.</w:t>
      </w:r>
    </w:p>
    <w:p>
      <w:pPr>
        <w:pStyle w:val="ArticleBody"/>
        <w:jc w:val="left"/>
      </w:pPr>
      <w:r>
        <w:rPr>
          <w:rFonts w:ascii="Times New Roman" w:hAnsi="Times New Roman" w:eastAsia="Times New Roman" w:cs="Times New Roman"/>
        </w:rPr>
        <w:t>Дар муддати як ҳазору дусаду шаст рӯз, ки рамзи як ҳазору дусаду шаст сол мебошад, ӯ қуввати вайронгари бутпарастиро намояндагӣ мекард; ва сипас барои боз як ҳазору дусаду шаст рӯз, ки ишора ба як ҳазору дусаду шаст сол дорад, ӯ қуввати вайронгари папавиро намояндагӣ мекард. Дили ҳар ду қуввати вайронгар яксон буд, зеро папагароӣ фақат бутпарастист, ки либоси эътирофи масеҳиятро ба бар кардааст.</w:t>
      </w:r>
    </w:p>
    <w:p>
      <w:pPr>
        <w:pStyle w:val="ArticleBody"/>
        <w:jc w:val="left"/>
      </w:pPr>
      <w:r>
        <w:rPr>
          <w:rFonts w:ascii="Times New Roman" w:hAnsi="Times New Roman" w:eastAsia="Times New Roman" w:cs="Times New Roman"/>
        </w:rPr>
        <w:t>Дар «охири айём», ки рамзе мебошад, ки дар боби дувоздаҳуми китоби Дониёл муайян шудааст ва «замони охир»-ро дар соли 1798 ифода мекунад, подшоҳии ӯ ба вай барқарор карда шуд. Шаҳодати Дониёл 4 ва Рӯҳи Нубувват муайян месозанд, ки вақте подшоҳии ӯ дар «охири айём» ба вай барқарор карда шуд, ӯ марди тавбакарда буд. Пас ӯ ба рамзи нубувватии чор ҳақиқати муҳим табдил меёбад. Ӯ ба пайванди нубувватӣ миёни қудрати аждаҳои бутпарастӣ, ки вай дар нимаи аввали «ҳафт замон»-и худ намояндагӣ мекард, ва қудрати ҳайвон, ки вай дар нимаи охири «ҳафт замон»-и худ намояндагӣ мекард, табдил меёбад. Ҳамчун рамзи он ду қудрат, ки чун подшоҳии барқароршуда дар соли 1798 истодааст, ӯ пас қудрати сеюми вайронкунандагонаро (пайғамбари козиб)-ро намояндагӣ мекунад, ки бояд дар муддати ҳафтод соли рамзӣ ҳукмронӣ мекард, дар ҳоле ки фоҳишаи Сур фаромӯш шуда буд. Ҳамчун подшоҳи Бобил, Набукаднесар пайванди нубувватиро миёни он се қудрате намояндагӣ мекунад, ки дар рӯзҳои охир ба Бобили муосир табдил хоҳанд ёфт ва он гоҳ ҷаҳонро ба сӯи Ҳармиҷидӯн мебарад.</w:t>
      </w:r>
    </w:p>
    <w:p>
      <w:pPr>
        <w:pStyle w:val="ArticleBody"/>
        <w:jc w:val="left"/>
      </w:pPr>
      <w:r>
        <w:rPr>
          <w:rFonts w:ascii="Times New Roman" w:hAnsi="Times New Roman" w:eastAsia="Times New Roman" w:cs="Times New Roman"/>
        </w:rPr>
        <w:t>Вай инчунин таваллуди Иёлоти Муттаҳидаро ҳамчун ҳайвони заминӣ намояндагӣ мекард, ки дар соли 1798 ҳамчун барра оғоз ёфт ва ин бо таҷрибаи табдилёфтаи ӯ рамзгузорӣ шуда буд. Ҳамзамон вай ду шохи ҳайвони заминиро низ намояндагӣ мекард, ки ҳамчун ҷумҳурихоҳӣ ва протестантизм қуввати Иёлоти Муттаҳидаро ифода менамуданд, ва ҳамин чиз ба он имкон дод, ки ба миллате дар ҷаҳон табдил ёбад, ки беш аз ҳама мавриди илтифот буд. Аммо дар поёни ҳафтод соли рамзӣ он ду шох он гоҳ ҳамчун ҷумҳурихоҳии муртад ва протестантизми муртад намояндагӣ мешуданд, ки ҳар ду шох ба ду табақа ҷудо гардида буданд. Шохи ҷумҳурихоҳӣ аз Ҳизби демократ иборат мебуд, ки ошкоро ба усулҳои муқаддаси Конститутсия беэътиноӣ мекард, ва аз Ҳизби ҷумҳурихоҳ, ки худро ҳомӣ ва муборизи Конститутсия вонамуд менамуд, аммо дар асл усулҳои муқаддаси Конститутсияро инкор мекард, дар ҳоле ки анъанаҳо ва урфу одатҳоро бар усулҳои даруни он санади муқаддас боло мегузошт.</w:t>
      </w:r>
    </w:p>
    <w:p>
      <w:pPr>
        <w:pStyle w:val="ArticleBody"/>
        <w:jc w:val="left"/>
      </w:pPr>
      <w:r>
        <w:rPr>
          <w:rFonts w:ascii="Times New Roman" w:hAnsi="Times New Roman" w:eastAsia="Times New Roman" w:cs="Times New Roman"/>
        </w:rPr>
        <w:t>Ҳар ду тарафро саддуқиён ва фарисиён дар замони Масеҳ рамзӣ менамуданд. Рӯҳи саддуқиён ва фарисиён ҳамчунин дар шохи протестантизми муртад зоҳир мегардид: як табақа ибодати якшанберо ҷонибдорӣ мекард ва табақаи дигар — ибодати шанберо. Ҳолати бозгаштаи Набукаднесар дар «охири рӯзҳо», дар соли 1798, ба таври муносиб Иёлоти Муттаҳидаро ва ҳар ду шохи ҳайвони заминӣ намояндагӣ мекунад. Ҳар се рамз — ҳайвони заминӣ ва ду шохи он — муқаррар шуда буданд, ки аз барра ба аждаҳо табдил ёбанд.</w:t>
      </w:r>
    </w:p>
    <w:p>
      <w:pPr>
        <w:pStyle w:val="ArticleBody"/>
        <w:jc w:val="left"/>
      </w:pPr>
      <w:r>
        <w:rPr>
          <w:rFonts w:ascii="Times New Roman" w:hAnsi="Times New Roman" w:eastAsia="Times New Roman" w:cs="Times New Roman"/>
        </w:rPr>
        <w:t>Набукаднесар, дар поёни «ҳафт замон»-и худ, он пайванде буд, ки подшоҳии аслии Бобили ӯро ҳамчун рамзи Бобили муосир дар рӯзҳои охир муайян мекард, ки аз аждаҳо, ҳайвон ва пайғамбари козиб таркиб ёфтааст. Ӯ ҳамчунин он се воҳиди нубувватиро намояндагӣ мекард, ки тавассути ҳайвони заминӣ бо ду шох ифода шудаанд, ва дар давоми ҳафтод соли рамзие, ки фоҳишаи Сӯр фаромӯш мешавад, аз барра ба аждаҳо табдил меёбад. Амиқмаъност, ки подшоҳии аслии ӯ маҳз ҳамон подшоҳиест, ки намунаи он подшоҳӣ мебошад, ки ҳафтод соли рамзӣ ҳукм меронад.</w:t>
      </w:r>
    </w:p>
    <w:p>
      <w:pPr>
        <w:pStyle w:val="ArticleBody"/>
        <w:jc w:val="left"/>
      </w:pPr>
      <w:r>
        <w:rPr>
          <w:rFonts w:ascii="Times New Roman" w:hAnsi="Times New Roman" w:eastAsia="Times New Roman" w:cs="Times New Roman"/>
        </w:rPr>
        <w:t>Рамзшиносии Набукаднесар дар боби чорум бояд бар болои боби якум татбиқ карда шавад. Вақте ки ин татбиқ анҷом меёбад, он нишонаҳои роҳи таърихи миллеритиро ба ҳам меорад ва чандин ҳақиқатро аз рӯъёи дарёи Ӯлой, ки дар он вақт мӯҳраш кушода гардиданд, тасдиқ мекунад. Асос ва сутуни марказии ҳаракати миллеритӣ савол ва ҷавоби боби ҳаштуми Дониёл, оятҳои сездаҳум ва чордаҳум буд. Савол чунин буд: «То ба кай ин рӯъё дар бораи қурбонии доимӣ ва гуноҳи харобкунанда давом хоҳад кард, то ки ҳам муқаддасгоҳ ва ҳам лашкар поймол карда шаванд?»</w:t>
      </w:r>
    </w:p>
    <w:p>
      <w:pPr>
        <w:pStyle w:val="ArticleBody"/>
        <w:jc w:val="left"/>
      </w:pPr>
      <w:r>
        <w:rPr>
          <w:rFonts w:ascii="Times New Roman" w:hAnsi="Times New Roman" w:eastAsia="Times New Roman" w:cs="Times New Roman"/>
        </w:rPr>
        <w:t>Аз садҳо, агар не ҳазорҳо, вожаҳои иловашуда дар Китоби Муқаддас, танҳо вожаи иловашудаи «қурбонӣ» аст, ки илҳом онро чун чизе муайян мекунад, ки ба матн тааллуқ надорад. Вақте ки ин вожа ба дурустӣ бардошта мешавад, он ба равшанӣ нишон медиҳад, ки «ҳамешагӣ ва таҷовуз» ду қудрати ҷудогонаи вайронкунанда мебошанд. Хоҳар Уайт ба таври мушаххас муайян мекунад, ки вожаи «қурбонӣ» бо ҳикмати инсонӣ илова шудааст ва ба матн татбиқ намегардад, ва дар ҳамон порча ӯ ҳамчунин муайян мекунад, ки миллериён дар шинохтани «ҳамешагӣ» ҳамчун бутпарастӣ дуруст буданд. Истилоҳҳои дастурии дар саволи ояти сездаҳ буда, аз ҷониби Масеҳ тавассути навиштаҳои Хоҳар Уайт бо диққат муайян шудаанд, ва ҳангоме ки онҳо бо матнҳо ва дастурҳои иловагии илҳомбахш идора карда мешаванд, савол чунин аст: «Рӯъё дар бораи ду қудрати вайронкунандаи бутпарастӣ ва папизм, ки бояд ҳам муқаддасгоҳ ва ҳам қавми Худоро поймол мекарданд, то кай хоҳад буд?»</w:t>
      </w:r>
    </w:p>
    <w:p>
      <w:pPr>
        <w:pStyle w:val="ArticleBody"/>
        <w:jc w:val="left"/>
      </w:pPr>
      <w:r>
        <w:rPr>
          <w:rFonts w:ascii="Times New Roman" w:hAnsi="Times New Roman" w:eastAsia="Times New Roman" w:cs="Times New Roman"/>
        </w:rPr>
        <w:t>Бинобар ин, вақте ки Навухаднассар дар «замони охир» — дар соли 1798 — ҷойгир карда мешавад, ӯ марди навимонро намояндагӣ мекунад ва, аз ин рӯ, «хирадмандон»-ро ифода менамояд, ки сутуни марказӣ ва бунёди Адвентизмро мефаҳмиданд. Табдили имони ӯ «хирадмандон»-еро муайян месозад, ки «афзоиши дониш»-ро, ки дар он замон мӯҳраш кушода шуд, дарк мекарданд; аммо рамзшиносии пешгӯйии худи ӯ бевосита он таърихеро тасвир мекунад, ки мавзӯи саволи зерин аст: «рӯъёи қудрати вайронгари бутпарастӣ ва папизм, ки қавми Худоро (лашкарро) ва муқаддасгоҳи Худоро поймол мекард, то кай хоҳад буд?» Ҳамчун рамзи «бокираи хирадманд», ки «афзоиши дониш»-ро мефаҳмад, ӯ Вилям Миллерро намояндагӣ мекунад, зеро Миллер рамзи онҳост, ки дар таърихе, ки дар «замони охир», дар соли 1798, оғоз ёфт, «хирадманд» буданд.</w:t>
      </w:r>
    </w:p>
    <w:p>
      <w:pPr>
        <w:pStyle w:val="ArticleBody"/>
        <w:jc w:val="left"/>
      </w:pPr>
      <w:r>
        <w:rPr>
          <w:rFonts w:ascii="Times New Roman" w:hAnsi="Times New Roman" w:eastAsia="Times New Roman" w:cs="Times New Roman"/>
        </w:rPr>
        <w:t>Набукаднесар рамзи нишони роҳии «замони анҷом» аст, ва ҳангоме ки он бар боби якум татбиқ карда мешавад, вай ҳамчунин расидани фариштаи аввалро дар он вақт намояндагӣ мекунад, зеро дар боби чорум, «соате», ки дар он Дониёл ба Набукаднесар паёми огоҳкунанда медиҳад, вақти расидани фариштаи аввалро нишон медиҳад, ва он соли 1798 буд. «Соате», ки дар он доварии Набукаднесар фаро расид, «соати» оғози доварии таҳқиқотии Худоро 22 октябри 1844 намояндагӣ мекард. Нишонҳои роҳие, ки аз рамзшиносии Набукаднесар дар боби чорум ба вуҷуд меоянд, инҳоянд: 723 то милод, 538, 1798 («замони анҷом») ва 22 октябри 1844.</w:t>
      </w:r>
    </w:p>
    <w:p>
      <w:pPr>
        <w:pStyle w:val="ArticleBody"/>
        <w:jc w:val="left"/>
      </w:pPr>
      <w:r>
        <w:rPr>
          <w:rFonts w:ascii="Times New Roman" w:hAnsi="Times New Roman" w:eastAsia="Times New Roman" w:cs="Times New Roman"/>
        </w:rPr>
        <w:t>Нишонаҳои таърихии миллерӣ дар боби якуми китоби Дониёл аз Еҳӯёқим оғоз меёбанд, ки рамзи қудратёбии паёми аввал аст, паёме ки дар «вақти анҷом», дар соли 1798, расида буд. Қудратёбии паёми аввал, ки бо Еҳӯёқим ифода шудааст, 11 августи соли 1840-ро нишон медиҳад. Фатҳ шудани Еҳӯёқим ҳафтод соли ҳукмронии Бобилро оғоз мекунад, ки бо фармони Куруш ба поён мерасад. Боби якуми Дониёл як раванди сеқадамаи озмоишро муайян мекунад, ки ҳамчун озмоиши парҳезӣ муаррифӣ мешавад ва пас аз он озмоиши зоҳирӣ меояд, ки бо як озмоиши ҳалкунанда анҷом меёбад. Ин се озмоиш 11 августи соли 1840-ро ифода мекунанд, вақте ки фариштаи пуриқтидор, ки касе ҷуз шахсияти худи Исои Масеҳ набуд, аз осмон бо китоби кӯчаке нозил шуд, ки қавми Худо он вақт бояд онро «мехӯрданд», ҳамон тавре ки Дониёл ва он се ҷавони арзанда интихоб карданд, ки ғизои лӯбиёгиҳоро бихӯранд, на ғизои Бобилро.</w:t>
      </w:r>
    </w:p>
    <w:p>
      <w:pPr>
        <w:pStyle w:val="ArticleBody"/>
        <w:jc w:val="left"/>
      </w:pPr>
      <w:r>
        <w:rPr>
          <w:rFonts w:ascii="Times New Roman" w:hAnsi="Times New Roman" w:eastAsia="Times New Roman" w:cs="Times New Roman"/>
        </w:rPr>
        <w:t>Санҷиши дуюми он раванд зуҳури рад кардани паёми Миллер (паёми фариштаи аввал)-ро аз ҷониби калисоҳои протестантӣ ифода менамуд; дар он вақт аллакай метавонист фарқе миёни ҳаракати миллерӣ ва калисоҳои протестантие дида шавад, ки он гоҳ нақши нубувватии худро ҳамчун протестантизми муртад оғоз карданд. Фарқи миёни он ду табақа ҳамон қадар равшан буд, ки гӯшти Дониёл ва он се ҷавони шоиста, ки ба ҷойи ғизои Бобил аз ғизои осмонӣ мехӯрданд, зеботар ва пуртар менамуд. Он фарқ дар поёни соли китобии 1843 (19 апрели 1844), ҳангоме ки вақти таъхири масали даҳ бокира фаро расид, ба таври ошкоро зоҳир гардид.</w:t>
      </w:r>
    </w:p>
    <w:p>
      <w:pPr>
        <w:pStyle w:val="ArticleBody"/>
        <w:jc w:val="left"/>
      </w:pPr>
      <w:r>
        <w:rPr>
          <w:rFonts w:ascii="Times New Roman" w:hAnsi="Times New Roman" w:eastAsia="Times New Roman" w:cs="Times New Roman"/>
        </w:rPr>
        <w:t>Санҷиши сеюм, ки санҷиши ҳалкунанда буд, 22 октябри соли 1844-ро ифода мекард, вақте ки баъд аз се сол он «соат» фаро расид, ки Набукаднесар худаш Дониёл ва он се ҷавони баргузидаро нисбат ба ҳакимони Бобил «даҳ маротиба» беҳтар доварӣ карда, чунин эълон намуд. Барқарор намудани боби чоруми Дониёл бар болои боби якум, нишондиҳандаҳои таърихи миллериро ба вуҷуд меорад, ки аз «замони охир» дар соли 1798 оғоз мешавад; қувват ёфтани паёми фариштаи якум дар 11 августи соли 1840; ноумедии аввал дар 19 апрели соли 1844; ва ноумедии бузург дар 22 октябри соли 1844.</w:t>
      </w:r>
    </w:p>
    <w:p>
      <w:pPr>
        <w:pStyle w:val="ArticleBody"/>
        <w:jc w:val="left"/>
      </w:pPr>
      <w:r>
        <w:rPr>
          <w:rFonts w:ascii="Times New Roman" w:hAnsi="Times New Roman" w:eastAsia="Times New Roman" w:cs="Times New Roman"/>
        </w:rPr>
        <w:t>Ғайр аз муайян сохтани нишонаҳои мушаххаси таърихи Миллеритӣ, ин ду боб, вақте ки «хат бар хат» бо ҳам оварда мешаванд, паёми фариштаи аввалро нишон медиҳанд, ду қудрати вайронгариеро, ки мавзӯи таълимоти бунёдии ду ҳазору сесад рӯз мебошанд, муайян месозанд, ва ҳамчунин раванди имтиҳони сеқадамаи Дониёл дувоздаҳро, ки ҳамеша ҳангоми муҳркушоӣ шудани китоби Дониёл ба вуқуъ меояд.</w:t>
      </w:r>
    </w:p>
    <w:p>
      <w:pPr>
        <w:pStyle w:val="ArticleBody"/>
        <w:jc w:val="left"/>
      </w:pPr>
      <w:r>
        <w:rPr>
          <w:rFonts w:ascii="Times New Roman" w:hAnsi="Times New Roman" w:eastAsia="Times New Roman" w:cs="Times New Roman"/>
        </w:rPr>
        <w:t>Онҳо ҳамчунин муайян мекунанд, ки Набукаднесар, ҳамчун рамзи ҳикматмандон дар соли 1798, дар иртибот бо хоби дуввуми ӯ дар боби чорум, Вилям Миллерро намояндагӣ мекунад, ки ҳаракати ӯ бояд ба шохи ҳақиқии протестантӣ табдил меёфт. Кори Вилям Миллер, ки ҳақоиқи бунёдии адвентизмро намояндагӣ мекунад, бар ду лавҳи Ҳабаққуқ тасвир ёфтааст, ва Худо дар таҳияи ҳар дуи он лавҳҳои муқаддас роҳнамоӣ намудааст.</w:t>
      </w:r>
    </w:p>
    <w:p>
      <w:pPr>
        <w:pStyle w:val="ArticleBody"/>
        <w:jc w:val="left"/>
      </w:pPr>
      <w:r>
        <w:rPr>
          <w:rFonts w:ascii="Times New Roman" w:hAnsi="Times New Roman" w:eastAsia="Times New Roman" w:cs="Times New Roman"/>
        </w:rPr>
        <w:t>Як қатор ҳақиқатҳои нубувватомез буданд, ки Миллер онҳоро дуруст надид, зеро мавқеи назари ӯ дар таърихи нубувват ба ӯ иҷозат намедод, ки дарк намояд, ки се қудрати вайронкунанда вуҷуд доранд: на танҳо бутпарастӣ (аждаҳо), папагарӣ (ваҳшӣ), балки ҳамчунин протестантизми муртад (пайғамбари козиб). Дар инояти Худо, он фаҳмишҳои нубувватии Миллер, ки бо мавқеи назари ӯ дар таърих маҳдуд буданд, бар ду лавҳи муқаддаси Ҳабаққуқ муаррифӣ нагардиданд.</w:t>
      </w:r>
    </w:p>
    <w:p>
      <w:pPr>
        <w:pStyle w:val="ArticleBody"/>
        <w:jc w:val="left"/>
      </w:pPr>
      <w:r>
        <w:rPr>
          <w:rFonts w:ascii="Times New Roman" w:hAnsi="Times New Roman" w:eastAsia="Times New Roman" w:cs="Times New Roman"/>
        </w:rPr>
        <w:t>Хоби дуюми Набукаднесар дар боби чоруми Дониёл намояндаи хоби дуюми Уилям Миллер аст. Ҳар ду хоб ба «ҳафт замон» дахл доранд, ва хоби Миллер радшавии кори ӯро, ки дар соли 1863 оғоз ёфта, то нидои нимашаб авҷ мегирад, муайян мекунад. Ҳар ду хоб бо подшоҳие анҷом меёбанд, ки пас аз як давраи парокандагӣ барқарор карда мешавад. Аз ин сабаб, мо пеш аз он ки рӯъёи дарёи Ӯлойро, ки дар соли 1798 мӯҳраш кушода шуд, бевосита баррасӣ кунем, хоби дуюми Миллерро мавриди назар қарор хоҳем дод.</w:t>
      </w:r>
    </w:p>
    <w:p>
      <w:pPr>
        <w:pStyle w:val="ArticleScripture"/>
        <w:jc w:val="left"/>
      </w:pPr>
      <w:r>
        <w:rPr>
          <w:rFonts w:ascii="Times New Roman" w:hAnsi="Times New Roman" w:eastAsia="Times New Roman" w:cs="Times New Roman"/>
        </w:rPr>
        <w:t>«Ман хоб дидам, ки Худо бо дасти нонамоён ба ман сандуқчае фиристод, ки бо ҳунари шигифтангез сохта шуда буд, тақрибан даҳ дюйм дарозӣ ва шаш дюйм бару паҳно дошт ва аз обнус ва марворид бо нақшу нигори моҳирона ҷогузорӣ гардида буд. Ба он сандуқча калиде васл буд. Ман дарҳол калидро гирифтам ва сандуқчаро кушодам; ва он гоҳ, ба тааҷҷубу ҳайрати ман, дидам, ки он аз ҳар гуна ва ҳар андозаи ҷавоҳирот, алмосҳо, сангҳои қиматбаҳо ва тангаҳои тиллою нуқраи ҳар ҳаҷм ва арзиш пур буда, дар ҷойҳои ҷудогонаи худ дар сандуқча ба зебоӣ ороста шуда буданд; ва бо ҳамин тартиб ороста шуда, онҳо нуре ва ҷалоле бозметобонданд, ки ҷуз офтоб чизе бо он баробар шуда наметавонист.</w:t>
      </w:r>
    </w:p>
    <w:p>
      <w:pPr>
        <w:pStyle w:val="ArticleScripture"/>
        <w:jc w:val="left"/>
      </w:pPr>
      <w:r>
        <w:rPr>
          <w:rFonts w:ascii="Times New Roman" w:hAnsi="Times New Roman" w:eastAsia="Times New Roman" w:cs="Times New Roman"/>
        </w:rPr>
        <w:t>«Ман чунин фикр кардам, ки аз ин манзараи аҷоиб танҳо худам баҳра бурдан вазифаи ман нест, ҳарчанд дили ман аз дурахшонӣ, зебоӣ ва арзиши мӯҳтавои он бисёр шод гардида буд. Бинобар ин, онро бар рӯи мизи миёнаи ҳуҷраи худ гузоштам ва хабар додам, ки ҳар кӣ хоҳише дорад, метавонад биёяд ва пурҷалолтарин ва дурахшонтарин манзараеро, ки инсон дар ин ҳаёт ҳаргиз дидааст, бубинад.</w:t>
      </w:r>
    </w:p>
    <w:p>
      <w:pPr>
        <w:pStyle w:val="ArticleScripture"/>
        <w:jc w:val="left"/>
      </w:pPr>
      <w:r>
        <w:rPr>
          <w:rFonts w:ascii="Times New Roman" w:hAnsi="Times New Roman" w:eastAsia="Times New Roman" w:cs="Times New Roman"/>
        </w:rPr>
        <w:t>«Халқ ба дохил омадан сар кард: дар аввал шумораашон кам буд, вале тадриҷан ба издиҳом афзуд. Вақте ки онҳо бори аввал ба он сандуқча менигаристанд, дар ҳайрат меафтоданд ва аз шодӣ нидо мекарданд. Аммо чун тамошобинон зиёд шуданд, ҳар кас ба озор додани ҷавоҳирот оғоз мекард, онҳоро аз сандуқча берун оварда, бар рӯи миз пароканда месохт. Ман ба фикр афтодам, ки соҳиби он аз дасти ман сандуқча ва ҷавоҳиротро боз талаб хоҳад кард; ва агар ман роҳ диҳам, ки онҳо пароканда шаванд, дигар ҳеҷ гоҳ нахоҳам тавонист онҳоро мисли пештара дар ҷойҳояшон дар сандуқча бинамоям; ва эҳсос мекардам, ки ҳаргиз наметавонам аз ӯҳдаи ин масъулият бароям, зеро он басе азим хоҳад буд. Пас ман ба зорӣ аз мардум хоҳиш кардан гирифтам, ки ба онҳо даст нарасонанд ва онҳоро аз сандуқча берун наоваранд; аммо ҳар қадар бештар илтиҷо мекардам, ҳамон қадар бештар онҳоро пароканда месохтанд; ва акнун чунин менамуд, ки онҳоро дар тамоми ҳуҷра — бар фарш ва бар ҳар порчаи асбоби ҳуҷра — пароканда мекунанд.</w:t>
      </w:r>
    </w:p>
    <w:p>
      <w:pPr>
        <w:pStyle w:val="ArticleScripture"/>
        <w:jc w:val="left"/>
      </w:pPr>
      <w:r>
        <w:rPr>
          <w:rFonts w:ascii="Times New Roman" w:hAnsi="Times New Roman" w:eastAsia="Times New Roman" w:cs="Times New Roman"/>
        </w:rPr>
        <w:t>«Сипас дидам, ки дар миёни ҷавоҳироти ҳақиқӣ ва тангаҳои аслӣ, онҳо миқдори бешуморе аз ҷавоҳироти қалбакӣ ва тангаҳои сохтаро пароканда карда буданд. Аз рафтори паст ва носипосии онҳо сахт ба ғазаб омадам ва барои ин онҳоро сарзаниш ва маломат кардам; аммо ҳар қадар бештар сарзаниш мекардам, ҳамон қадар бештар ҷавоҳироти қалбакӣ ва тангаҳои сохтаро дар миёни аслӣ пароканда месохтанд.»</w:t>
      </w:r>
    </w:p>
    <w:p>
      <w:pPr>
        <w:pStyle w:val="ArticleScripture"/>
        <w:jc w:val="left"/>
      </w:pPr>
      <w:r>
        <w:rPr>
          <w:rFonts w:ascii="Times New Roman" w:hAnsi="Times New Roman" w:eastAsia="Times New Roman" w:cs="Times New Roman"/>
        </w:rPr>
        <w:t>«Сипас ман дар ҷони ҷисмонии худ ба ғазаб омадам ва ба кор бурдани қувваи ҷисмониро оғоз кардам, то онҳоро аз ҳуҷра берун ронам; аммо ҳангоме ки ман якеро берун мерондам, се нафари дигар дохил мешуданд ва лойу аррамайда ва қум ва ҳар гуна ахлотро меоварданд, то он даме ки ҳар як аз ҷавоҳироти ҳақиқӣ, алмосҳо ва тангаҳоро пӯшониданд, ки ҳамаашон аз назар пинҳон шуданд. Онҳо ҳамчунин сандуқчаи маро пора-пора карданд ва онро миёни ахлот пароканда сохтанд. Ман гумон кардам, ки ҳеҷ кас ба андӯҳи ман ё ба ғазаби ман эътино намекунад. Ман комилан рӯҳафтода ва дилшикаста шудам ва нишаста гиристам.</w:t>
      </w:r>
    </w:p>
    <w:p>
      <w:pPr>
        <w:pStyle w:val="ArticleScripture"/>
        <w:jc w:val="left"/>
      </w:pPr>
      <w:r>
        <w:rPr>
          <w:rFonts w:ascii="Times New Roman" w:hAnsi="Times New Roman" w:eastAsia="Times New Roman" w:cs="Times New Roman"/>
        </w:rPr>
        <w:t>«Ҳангоме ки ман барои талафоти бузурги худ ва масъулияти хеш чунин гиря ва мотам мекардам, Худоро ба ёд овардам ва бо ҷидду ҷаҳд дуо намудам, ки Ӯ ба ман ёрӣ фиристад. Дарҳол дар кушода шуд ва марде ба ҳуҷра даромад, ва он гоҳ ҳамаи мардум аз он берун рафтанд; ва ӯ, дар дасташ ҷорӯби чангрубӣ дошта, тирезаҳоро боз кард ва ба рӯфтани чангу хасу хошок аз ҳуҷра оғоз намуд.»</w:t>
      </w:r>
    </w:p>
    <w:p>
      <w:pPr>
        <w:pStyle w:val="ArticleScripture"/>
        <w:jc w:val="left"/>
      </w:pPr>
      <w:r>
        <w:rPr>
          <w:rFonts w:ascii="Times New Roman" w:hAnsi="Times New Roman" w:eastAsia="Times New Roman" w:cs="Times New Roman"/>
        </w:rPr>
        <w:t>Ман ба ӯ илтиҷо кардам, ки худдорӣ намояд, зеро дар миёни харобаҳо баъзе ҷавоҳироти гаронбаҳо пароканда буданд.</w:t>
      </w:r>
    </w:p>
    <w:p>
      <w:pPr>
        <w:pStyle w:val="ArticleScripture"/>
        <w:jc w:val="left"/>
      </w:pPr>
      <w:r>
        <w:rPr>
          <w:rFonts w:ascii="Times New Roman" w:hAnsi="Times New Roman" w:eastAsia="Times New Roman" w:cs="Times New Roman"/>
        </w:rPr>
        <w:t>Ӯ ба ман гуфт, ки «натарс», зеро Ӯ «дар бораи онҳо ғамхорӣ хоҳад кард».</w:t>
      </w:r>
    </w:p>
    <w:p>
      <w:pPr>
        <w:pStyle w:val="ArticleScripture"/>
        <w:jc w:val="left"/>
      </w:pPr>
      <w:r>
        <w:rPr>
          <w:rFonts w:ascii="Times New Roman" w:hAnsi="Times New Roman" w:eastAsia="Times New Roman" w:cs="Times New Roman"/>
        </w:rPr>
        <w:t>«Сипас, ҳангоме ки ӯ хок ва хасу хошок, ҷавоҳироти қалбакӣ ва тангаҳои сохтаро рӯбучин мекард, ҳамаи онҳо чун абре бархоста, аз тиреза берун рафтанд, ва бод онҳоро бурда бурд. Дар миёни он издиҳом ман як лаҳза чашмонамро бастам; вақте ки онҳоро кушодам, тамоми хасу хошок нест шуда буд. Ҷавоҳироти гаронбаҳо, алмосҳо, тангаҳои тилло ва нуқра, ба фаровонӣ дар тамоми ҳуҷра пароканда хобида буданд.»</w:t>
      </w:r>
    </w:p>
    <w:p>
      <w:pPr>
        <w:pStyle w:val="ArticleScripture"/>
        <w:jc w:val="left"/>
      </w:pPr>
      <w:r>
        <w:rPr>
          <w:rFonts w:ascii="Times New Roman" w:hAnsi="Times New Roman" w:eastAsia="Times New Roman" w:cs="Times New Roman"/>
        </w:rPr>
        <w:t>«Сипас ӯ бар рӯйи миз сандуқчае гузошт, ки аз сандуқчаи пешина хеле бузургтар ва зеботар буд, ва ҷавоҳирот, алмосҳо ва тангаҳоро мушт-мушт ҷамъ оварда, ба он сандуқча андохт, то он ки яктоаш ҳам боқӣ намонд, гарчанде баъзе аз алмосҳо аз нӯги сӯзан ҳам калонтар набуданд.»</w:t>
      </w:r>
    </w:p>
    <w:p>
      <w:pPr>
        <w:pStyle w:val="ArticleScripture"/>
        <w:jc w:val="left"/>
      </w:pPr>
      <w:r>
        <w:rPr>
          <w:rFonts w:ascii="Times New Roman" w:hAnsi="Times New Roman" w:eastAsia="Times New Roman" w:cs="Times New Roman"/>
        </w:rPr>
        <w:t>«Пас Ӯ маро даъват намуд, ки “биё ва бубин”.»</w:t>
      </w:r>
    </w:p>
    <w:p>
      <w:pPr>
        <w:pStyle w:val="ArticleScripture"/>
        <w:jc w:val="left"/>
      </w:pPr>
      <w:r>
        <w:rPr>
          <w:rFonts w:ascii="Times New Roman" w:hAnsi="Times New Roman" w:eastAsia="Times New Roman" w:cs="Times New Roman"/>
        </w:rPr>
        <w:t>«Ман ба сандуқ назар андохтам, вале чашмонам аз ин манзара хира гардиданд. Онҳо даҳ баробар бештар аз ҷалоли пешинаи худ медурахшиданд. Ман гумон кардам, ки онҳоро пойҳои он ашхоси шарире, ки онҳоро пароканда сохта ва дар хок поймол карда буданд, дар рег соида тоза кардаанд. Онҳо дар сандуқ бо тартиби бисёр зебо ҷо ба ҷо шуда буданд, ҳар яке дар ҷои худ, бе ҳеҷ нишоне аз дасти он марде, ки онҳоро ба он ҷо андохта буд. Ман аз шиддати шодӣ нидо задам, ва он нидо маро бедор кард». Early Writings, 81–83.</w:t>
      </w:r>
    </w:p>
    <w:p>
      <w:pPr>
        <w:pStyle w:val="ArticleBody"/>
        <w:jc w:val="left"/>
      </w:pPr>
      <w:r>
        <w:rPr>
          <w:rFonts w:ascii="Times New Roman" w:hAnsi="Times New Roman" w:eastAsia="Times New Roman" w:cs="Times New Roman"/>
        </w:rPr>
        <w:t>Мо дар мақолаи оянда хоби Миллерро баррасӣ хоҳем кард.</w:t>
      </w:r>
    </w:p>
    <w:p>
      <w:pPr>
        <w:pStyle w:val="ArticleBody"/>
        <w:jc w:val="left"/>
      </w:pPr>
      <w:r>
        <w:rPr>
          <w:rFonts w:ascii="Times New Roman" w:hAnsi="Times New Roman" w:eastAsia="Times New Roman" w:cs="Times New Roman"/>
        </w:rPr>
        <w:t>Он чи меояд муқаддимае ба хоби дуюми Вилям Миллер аст, ки Ҷеймс Уайт ҳангоми нашр кардани хоби Миллер дар Advent Herald навишта буд.</w:t>
      </w:r>
    </w:p>
    <w:p>
      <w:pPr>
        <w:pStyle w:val="ArticleScripture"/>
        <w:jc w:val="left"/>
      </w:pPr>
      <w:r>
        <w:rPr>
          <w:rFonts w:ascii="Times New Roman" w:hAnsi="Times New Roman" w:eastAsia="Times New Roman" w:cs="Times New Roman"/>
        </w:rPr>
        <w:t>«Хоби зерин зиёда аз ду сол пеш дар Advent Herald нашр гардида буд. Он гоҳ ман дидам, ки он таҷрибаи гузаштаи моро вобаста ба Омадани Дуюми Масеҳ ба таври равшан нишон медиҳад, ва Худо ин хобро ба манфиати рамаи пароканда ато намудааст.</w:t>
      </w:r>
    </w:p>
    <w:p>
      <w:pPr>
        <w:pStyle w:val="ArticleScripture"/>
        <w:jc w:val="left"/>
      </w:pPr>
      <w:r>
        <w:rPr>
          <w:rFonts w:ascii="Times New Roman" w:hAnsi="Times New Roman" w:eastAsia="Times New Roman" w:cs="Times New Roman"/>
        </w:rPr>
        <w:t>«Дар миёни аломатҳои наздик омадани рӯзи бузург ва саҳмгини Худованд, Худо хобҳоро қарор додааст. Нигаред ба Joel 2:28–31; Acts 2:17–20. Хобҳо метавонанд ба се роҳ биёянд: аввал, “аз бисёрии машғулиятҳо.” Нигаред ба Ecclesiastics 5:3. Дуюм, онҳое ки зери рӯҳи палид ва фиреби Шайтон қарор доранд, метавонанд бо таъсири ӯ хоб бинанд. Нигаред ба Deuteronomy 8:1–5; Jeremiah 23:25–28; 27:9; 29:8; Zechariah 10:2; Jude 8. Ва сеюм, Худо ҳамеша қавми Худро ба воситаи хобҳо, кам ё беш, таълим додааст ва ҳанӯз ҳам таълим медиҳад, ки онҳо ба воситаи хизмати фариштагон ва Рӯҳулқудс меоянд. Онҳое ки дар нури равшани ҳақиқат меистанд, хоҳанд донист, ки кай Худо ба онҳо хоб медиҳад; ва чунин касон бо хобҳои дурӯғин фирефта нахоҳанд шуд ва аз роҳ берун бурда нахоҳанд шуд.»</w:t>
      </w:r>
    </w:p>
    <w:p>
      <w:pPr>
        <w:pStyle w:val="ArticleScripture"/>
        <w:jc w:val="left"/>
      </w:pPr>
      <w:r>
        <w:rPr>
          <w:rFonts w:ascii="Times New Roman" w:hAnsi="Times New Roman" w:eastAsia="Times New Roman" w:cs="Times New Roman"/>
        </w:rPr>
        <w:t>«“Ва Ӯ гуфт: алҳол суханони Маро бишнавед; агар дар миёни шумо набӣ бошад, Ман, Худованд, Худро ба ӯ дар рӯъё маълум хоҳам кард, ва бо ӯ дар хоб сухан хоҳам гуфт.” Ададҳо 12:6. Яъқуб гуфт: “Фариштаи Худованд дар хоб ба ман сухан гуфт.” Ҳастӣ 31:2. “Ва Худо шабона дар хоб назди Лобони суриягӣ омад.” Ҳастӣ 31:24. Хобҳои Юсуфро бихонед, [Ҳастӣ 37:5–9], ва сипас достони ҷолиби иҷро шудани онҳоро дар Миср. “Дар Ҷибъӯн Худованд шабона дар хоб ба Сулаймон зоҳир шуд.” 3 Подшоҳон 3:5. Он сурати бузурги басо муҳимми боби дуюми Дониёл низ дар хоб дода шуд, ҳамчунин он чор ҳайвон ва ғайра аз боби ҳафтум. Вақте ки Ҳиродус кӯшиш мекард Наҷотдиҳандаи тифлро нобуд созад, Юсуф дар хоб огоҳ карда шуд, ки ба Миср бигрезад. Матто 2:13.»</w:t>
      </w:r>
    </w:p>
    <w:p>
      <w:pPr>
        <w:pStyle w:val="ArticleScripture"/>
        <w:jc w:val="left"/>
      </w:pPr>
      <w:r>
        <w:rPr>
          <w:rFonts w:ascii="Times New Roman" w:hAnsi="Times New Roman" w:eastAsia="Times New Roman" w:cs="Times New Roman"/>
        </w:rPr>
        <w:t>«“Ва дар рӯзҳои ОХИРИН чунин воқеъ хоҳад шуд, мегӯяд Худо, ки Ман аз Рӯҳи Худ бар ҳар ҷисм фурӯ хоҳам рехт; ва писарони шумо ва духтарони шумо нубувват хоҳанд кард, ва ҷавонони шумо рӯъёҳо хоҳанд дид, ва пирони шумо хобҳо хоҳанд дид.” Аъмол 2:17.»</w:t>
      </w:r>
    </w:p>
    <w:p>
      <w:pPr>
        <w:pStyle w:val="ArticleScripture"/>
        <w:jc w:val="left"/>
      </w:pPr>
      <w:r>
        <w:rPr>
          <w:rFonts w:ascii="Times New Roman" w:hAnsi="Times New Roman" w:eastAsia="Times New Roman" w:cs="Times New Roman"/>
        </w:rPr>
        <w:t>«Тӯҳфаи нубувват, ба воситаи хобҳо ва рӯъёҳо, дар ин ҷо самари Рӯҳулқудс аст ва дар айёми охир бояд ба дараҷае зоҳир гардад, ки аломатеро ташкил диҳад. Он яке аз атоҳои калисои Инҷил аст. »</w:t>
      </w:r>
    </w:p>
    <w:p>
      <w:pPr>
        <w:pStyle w:val="ArticleScripture"/>
        <w:jc w:val="left"/>
      </w:pPr>
      <w:r>
        <w:rPr>
          <w:rFonts w:ascii="Times New Roman" w:hAnsi="Times New Roman" w:eastAsia="Times New Roman" w:cs="Times New Roman"/>
        </w:rPr>
        <w:t>«Ва Ӯ баъзеро расулон, баъзеро ПАЙҒАМБАРОН, баъзеро башоратдиҳандагон, ва баъзеро чӯпонон ва муаллимон гардонид; барои такмили муқаддасон, барои кори хизмат, барои бино ёфтани ҷисми Масеҳ». Эфсӯсиён 4:11–12.</w:t>
      </w:r>
    </w:p>
    <w:p>
      <w:pPr>
        <w:pStyle w:val="ArticleScripture"/>
        <w:jc w:val="left"/>
      </w:pPr>
      <w:r>
        <w:rPr>
          <w:rFonts w:ascii="Times New Roman" w:hAnsi="Times New Roman" w:eastAsia="Times New Roman" w:cs="Times New Roman"/>
        </w:rPr>
        <w:t>«“Ва Худо баъзеро дар калисо гузошт: аввал ҳаввориён, дуюм АНБИЁ,” ва ғайра. 1 Қӯринтиён 12:28. “НУБУВВАТҲОРО хор нашуморед.” 1 Таслӯникиён 5:20. Ҳамчунин нигаред ба Аъмол 13:1; 21:9; Румиён 7:6; 1 Қӯринтиён 14:1, 24, 39. Анбиё ё нубувватҳо барои бинои калисои Масеҳ мебошанд; ва аз каломи Худо ҳеҷ далеле пеш оварда намешавад, ки исбот кунад онҳо мебоист пеш аз он ки башоратдиҳандагон, шӯпонон ва муаллимон аз миён бираванд, қатъ мегардиданд. Аммо эътирозкунанда мегӯяд: “Азбаски рӯъёҳо ва хобҳои дурӯғин бисёр буданд, ман наметавонам ба ҳеҷ чизе аз ин гуна эътимод дошта бошам.” Дуруст аст, ки шайтон қалбакии худро дорад. Ӯ ҳамеша анбиёи козиб дошт, ва албатта мо метавонем онҳоро ҳоло низ, дар ин соати охирини фиреб ва зафари ӯ, интизор бошем. Онҳое ки чунин ваҳйҳои махсусро ба сабаби он ки қалбакӣ вуҷуд дорад рад мекунанд, метавонанд бо ҳамон андоза асосмандӣ як қадам ҳам пештар раванд ва инкор намоянд, ки Худо ягон вақт дар хоб ё рӯъё худро ба инсон ошкор кардааст, зеро қалбакӣ ҳамеша вуҷуд дошт.»</w:t>
      </w:r>
    </w:p>
    <w:p>
      <w:pPr>
        <w:pStyle w:val="ArticleScripture"/>
        <w:jc w:val="left"/>
      </w:pPr>
      <w:r>
        <w:rPr>
          <w:rFonts w:ascii="Times New Roman" w:hAnsi="Times New Roman" w:eastAsia="Times New Roman" w:cs="Times New Roman"/>
        </w:rPr>
        <w:t>«Хобҳо ва рӯъёҳо василае мебошанд, ки Худо ба воситаи он Худро ба инсон ошкор кардааст. Ба воситаи ҳамин васила Ӯ ба анбиё сухан гуфтааст; Ӯ атои нубувватро дар миёни атоҳои калисои Инҷил қарор додааст ва хобҳо ва рӯъёҳоро бо дигар аломатҳои «ОХИРЗАМОН» ҳамрадиф шумурдааст. Омин.</w:t>
      </w:r>
    </w:p>
    <w:p>
      <w:pPr>
        <w:pStyle w:val="ArticleScripture"/>
        <w:jc w:val="left"/>
      </w:pPr>
      <w:r>
        <w:rPr>
          <w:rFonts w:ascii="Times New Roman" w:hAnsi="Times New Roman" w:eastAsia="Times New Roman" w:cs="Times New Roman"/>
        </w:rPr>
        <w:t>«Мақсади ман дар мулоҳизаҳои боло он буд, ки эътирозҳоро ба тарзи мувофиқи Навиштаҳо бартараф намоям ва зеҳни хонандаро барои матлаби зерин омода созам».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сию шашум</dc:title>
  <dc:subject>Рамзпардозии нубувватии Набукаднесар: ошкор сохтани нишонаҳои таърихии ҳаракати Миллерит ва рӯъёи мӯҳршудаи дарёи Улай</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