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чилум</w:t>
      </w:r>
    </w:p>
    <w:p>
      <w:pPr>
        <w:pStyle w:val="ArticleSubtitle"/>
        <w:jc w:val="left"/>
      </w:pPr>
      <w:r>
        <w:rPr>
          <w:rFonts w:ascii="Arial" w:hAnsi="Arial" w:eastAsia="Arial" w:cs="Arial"/>
        </w:rPr>
        <w:t>Павлус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Боби якуми китоби Дониёл, вақте ки бар боби чоруми Дониёл мутобиқ гузошта мешавад, таърихи фариштаи якум ва дуюмро аз соли 1798 то 1844 таҷассум мекунад. Дар он таърих китоби Дониёл кушода шуд, ва он қисми кушодашуда бобҳои ҳафтум, ҳаштум ва нӯҳум буданд. «Сатр бар сатр» — бобҳои якум, чорум ва сипас аз ҳафтум то нӯҳум — таърихи ҳаракати Миллерии фариштаи якумро ба тасвир меоранд.</w:t>
      </w:r>
    </w:p>
    <w:p>
      <w:pPr>
        <w:pStyle w:val="ArticleBody"/>
        <w:jc w:val="left"/>
      </w:pPr>
      <w:r>
        <w:rPr>
          <w:rFonts w:ascii="Times New Roman" w:hAnsi="Times New Roman" w:eastAsia="Times New Roman" w:cs="Times New Roman"/>
        </w:rPr>
        <w:t>Дар он таърих (1798 то 1844), ҳақоиқи бунёдии Адвентизм муқаррар карда шуданд, ва он ҳақоиқ дар ниҳоят бар рӯйи харитаи пешоҳангони соли 1843 таҷассум ёфтанд. Сурати Набукаднесар аз боби дуюми Дониёл дар он харита ҳаст. Рӯъёҳои Дониёл ҳафт ва ҳашт дар он харита ҳастанд. «Ҳамешагӣ»-и боби ҳашт, ҳамчунин «ҳафт замон»-и Ибодат 26, дар он муаррифӣ шудаанд. Се «Вой»-и Ислом, чунон ки дар Ваҳй боби нӯҳ нишон дода шудаанд, дар он ҷо ҳастанд. Худо борҳо пешакӣ ҳушдор дода буд, ки он ҳақоиқи бунёдӣ мавриди ҳамла қарор хоҳанд гирифт.</w:t>
      </w:r>
    </w:p>
    <w:p>
      <w:pPr>
        <w:pStyle w:val="ArticleScripture"/>
        <w:jc w:val="left"/>
      </w:pPr>
      <w:r>
        <w:rPr>
          <w:rFonts w:ascii="Times New Roman" w:hAnsi="Times New Roman" w:eastAsia="Times New Roman" w:cs="Times New Roman"/>
        </w:rPr>
        <w:t>«Бигзор онҳое ки чун посбонони Худо бар деворҳои Сион меистанд, мардоне бошанд, ки хатарҳоро пеш аз мардум бубинанд,—мардоне ки тавонанд миёни ҳақиқат ва хатогӣ, адолат ва беадолатӣ фарқ гузоранд.</w:t>
      </w:r>
    </w:p>
    <w:p>
      <w:pPr>
        <w:pStyle w:val="ArticleScripture"/>
        <w:jc w:val="left"/>
      </w:pPr>
      <w:r>
        <w:rPr>
          <w:rFonts w:ascii="Times New Roman" w:hAnsi="Times New Roman" w:eastAsia="Times New Roman" w:cs="Times New Roman"/>
        </w:rPr>
        <w:t>«Ҳушдор дода шудааст: Ҳеҷ чиз набояд роҳ дода шавад, ки пояи имонеро, ки мо аз замоне ки паём дар солҳои 1842, 1843 ва 1844 омадааст, бар он бино карда истодаем, ба ташвиш оварад. Ман дар ин паём будам, ва аз ҳамон вақт инҷониб ман дар назди ҷаҳон истодаам, ба нуре ки Худо ба мо додааст, содиқ мондаам. Мо ният надорем, ки пойҳои худро аз он минбаре бардорем, ки бар он гузошта шуданд, дар ҳоле ки рӯз ба рӯз бо дуои ҷиддӣ Худовандро меҷустем ва дар ҷустуҷӯи нур будем. Оё шумо фикр мекунед, ки ман метавонам аз нуре ки Худо ба ман додааст, даст кашам? Он бояд мисли Санги Абадҳо бошад. Он аз замоне ки ба ман дода шуд, пайваста маро роҳнамоӣ кардааст». Review and Herald, April 14, 1903.</w:t>
      </w:r>
    </w:p>
    <w:p>
      <w:pPr>
        <w:pStyle w:val="ArticleBody"/>
        <w:jc w:val="left"/>
      </w:pPr>
      <w:r>
        <w:rPr>
          <w:rFonts w:ascii="Times New Roman" w:hAnsi="Times New Roman" w:eastAsia="Times New Roman" w:cs="Times New Roman"/>
        </w:rPr>
        <w:t>Кори шахсе, ки хасуи ғуборрӯбро ба кор мебарад, яъне коре ки бояд бо иштироки қавми рӯзҳои охири Худо анҷом дода шавад, инчунин аз ҷониби Ишаъё тасвир шудааст, ҳангоме ки ӯ қавми рӯзҳои охир ва кореро, ки онҳо барои анҷом додани он даъват шудаанд, муайян менамояд, зеро таҳкурсӣ пеш аз фаро расидани рӯзҳои охир маҳкум шуда буд, ки зери хатогӣ дафн гардад.</w:t>
      </w:r>
    </w:p>
    <w:p>
      <w:pPr>
        <w:pStyle w:val="ArticleScripture"/>
        <w:jc w:val="left"/>
      </w:pPr>
      <w:r>
        <w:rPr>
          <w:rFonts w:ascii="Times New Roman" w:hAnsi="Times New Roman" w:eastAsia="Times New Roman" w:cs="Times New Roman"/>
        </w:rPr>
        <w:t>Ва аз ту касоне хоҳанд буд, ки вайронаҳои қадимиро бино мекунанд; ту бунёдҳои наслҳои бисёрро барпо хоҳӣ намуд; ва туро хоҳанд хонд: Таъмиркунандаи рахна, Барқароркунандаи роҳҳо барои иқомат. Ишаъё 58:12.</w:t>
      </w:r>
    </w:p>
    <w:p>
      <w:pPr>
        <w:pStyle w:val="ArticleBody"/>
        <w:jc w:val="left"/>
      </w:pPr>
      <w:r>
        <w:rPr>
          <w:rFonts w:ascii="Times New Roman" w:hAnsi="Times New Roman" w:eastAsia="Times New Roman" w:cs="Times New Roman"/>
        </w:rPr>
        <w:t>«Харобаҳои қадима» ба ҳақиқатҳои таълимие ишора мекунад, ки ба ду қувваи вайронгар — бутпарастӣ ва папагарӣ — вобастаанд. Пайдарпай омадани ин ду қувваи вайронгар, яъне бутпарастӣ ва пас аз он папагарӣ, ҳамон асосе буд, ки Уилям Миллер онро барои чорчӯби ҳар як нубуввате, ки пешниҳод менамуд, ба кор мебурд.</w:t>
      </w:r>
    </w:p>
    <w:p>
      <w:pPr>
        <w:pStyle w:val="ArticleScripture"/>
        <w:jc w:val="left"/>
      </w:pPr>
      <w:r>
        <w:rPr>
          <w:rFonts w:ascii="Times New Roman" w:hAnsi="Times New Roman" w:eastAsia="Times New Roman" w:cs="Times New Roman"/>
        </w:rPr>
        <w:t>Ва вайронаҳои куҳанро бино хоҳанд кард, харобаҳои пешинаро барпо хоҳанд намуд, ва шаҳрҳои валангорро, харобаҳои наслҳои бисёрро, аз нав обод хоҳанд сохт. Ишаъё 61:4.</w:t>
      </w:r>
    </w:p>
    <w:p>
      <w:pPr>
        <w:pStyle w:val="ArticleBody"/>
        <w:jc w:val="left"/>
      </w:pPr>
      <w:r>
        <w:rPr>
          <w:rFonts w:ascii="Times New Roman" w:hAnsi="Times New Roman" w:eastAsia="Times New Roman" w:cs="Times New Roman"/>
        </w:rPr>
        <w:t>Сохтори нубувват, ки ҳамчун чаҳорчӯба тасвир шудааст, таърих ва муносибати он ду қудрат мебошад. «Роҳҳоро барои маскун шудан барқарор намудан» — ин барқарорсозии чаҳорчӯбаи Миллер аст, ки дар хоби ӯ бо кори марди хасрӯб ба тасвир оварда шуда буд. Ишаъё аз намунаи таърихи Эзро ва онҳое ки аз Бобил бозгаштанд ва Уршалимро таъмир карданд, истифода бурд, то барқарорсозии вайрониҳои пешинаро муайян намояд.</w:t>
      </w:r>
    </w:p>
    <w:p>
      <w:pPr>
        <w:pStyle w:val="ArticleScripture"/>
        <w:jc w:val="left"/>
      </w:pPr>
      <w:r>
        <w:rPr>
          <w:rFonts w:ascii="Times New Roman" w:hAnsi="Times New Roman" w:eastAsia="Times New Roman" w:cs="Times New Roman"/>
        </w:rPr>
        <w:t>Аз рӯзҳои падарони худ то имрӯз мо дар гуноҳи азиме будаем; ва барои шароратҳои мо, мо, подшоҳони мо ва коҳинони мо, ба дасти подшоҳони заминҳо таслим шудаем: ба шамшер, ба асирӣ, ба ғорат ва ба расвоии рӯй, чунон ки имрӯз аст. Ва акнун, барои андаке фурсат, аз ҷониби Худованд Худои мо файз зоҳир шуд, то барои мо бақияе барои наҷот ёфтан боқӣ монад, ва то ба мо мехе дар макони муқаддаси Худ бидиҳад, то Худои мо чашмони моро равшан гардонад ва дар бандагии мо андаке эҳё ба мо ато намояд. Зеро мо бандагон будем; вале Худои мо моро дар бандагии мо тарк накардааст, балки дар назари подшоҳони Форс марҳамати Худро бар мо дароз кардааст, то ба мо эҳё бахшад, хонаи Худои моро барпо созад, харобаҳои онро таъмир намояд ва дар Яҳудо ва дар Ерусалим ба мо деворе бидиҳад. Эзро 9:7–9.</w:t>
      </w:r>
    </w:p>
    <w:p>
      <w:pPr>
        <w:pStyle w:val="ArticleBody"/>
        <w:jc w:val="left"/>
      </w:pPr>
      <w:r>
        <w:rPr>
          <w:rFonts w:ascii="Times New Roman" w:hAnsi="Times New Roman" w:eastAsia="Times New Roman" w:cs="Times New Roman"/>
        </w:rPr>
        <w:t>Эзро ва онҳое ки Ерусалимро таъмир карданд, «бақия»-еро намояндагӣ мекунанд, ки барқароркунандагони роҳҳое ҳастанд, ки дар онҳо сокин шудан мумкин аст; ва онҳо ҳамон касонеанд, ки ин корро дар доираи дуои боби бисту шашуми Аҳди Левиён ба анҷом мерасонанд, ки Эзро ба он ишора намуда мегӯяд: «аз айёми падарони мо то имрӯз мо дар гуноҳи бузурге будаем; ва барои шароратҳои мо, мо, подшоҳони мо ва коҳинони мо, ба дасти подшоҳони заминҳо таслим шудаем: ба шамшер, ба асирӣ, ба тороҷ ва ба хиҷолати рӯй». Он «рӯз»-е ки ӯ ба он ишора мекунад, ҳамон «рӯз»-ест, ки дар он «бақия»-и рӯзҳои охир роҳҳоро барои сокин шудан барқарор менамояд.</w:t>
      </w:r>
    </w:p>
    <w:p>
      <w:pPr>
        <w:pStyle w:val="ArticleBody"/>
        <w:jc w:val="left"/>
      </w:pPr>
      <w:r>
        <w:rPr>
          <w:rFonts w:ascii="Times New Roman" w:hAnsi="Times New Roman" w:eastAsia="Times New Roman" w:cs="Times New Roman"/>
        </w:rPr>
        <w:t>Боқимондаи Эзро ҳамон ду шоҳиде ҳастанд, ки дар поёни сею ним рӯз эҳё мешаванд ва дуои Левизо бисту шашро, чунон ки Дониёл дар боби нӯҳ нишон медиҳад, ба иҷро мерасонанд. Вақте ки Эзро ва ҳамкоронаш аз асирӣ баргаштанд ва Ерусалимро аз нав бино карданд, онҳо кори барқарор сохтани ҷавоҳироти Миллерро тимсол мекарданд, ки он кори барқарор намудани ҳақиқатҳои бунёдии Миллер аст. Бинобар ин, фаҳмидани чорчӯбаи кори Миллер аҳаммияти асосӣ дорад.</w:t>
      </w:r>
    </w:p>
    <w:p>
      <w:pPr>
        <w:pStyle w:val="ArticleScripture"/>
        <w:jc w:val="left"/>
      </w:pPr>
      <w:r>
        <w:rPr>
          <w:rFonts w:ascii="Times New Roman" w:hAnsi="Times New Roman" w:eastAsia="Times New Roman" w:cs="Times New Roman"/>
        </w:rPr>
        <w:t>«Ҳаввориён бар бунёди устувор бино карданд, яъне бар Санги Абадӣ. Ба ин бунёд онҳо сангҳоеро оварданд, ки аз ҷаҳон канда гирифта буданд. Бинокорон бе монеа заҳмат накашиданд. Кори онҳо аз сабаби муқовимати душманони Масеҳ ниҳоят душвор гардонида шуд. Онҳо маҷбур буданд бар зидди таассуб, пешдоварӣ ва нафрати онҳое мубориза баранд, ки бар бунёди козиб бино мекарданд. Бисёре аз онҳое ки ҳамчун бинокорони калисо меҳнат мекарданд, метавонистанд ба бинокорони девор дар рӯзгори Наҳемё монанд карда шаванд, ки дар бораи онҳо навишта шудааст: “Онҳое ки деворро месохтанд, ва онҳое ки бор мебардоштанд, бо онҳое ки бор мекарданд, ҳар яке бо як дасти худ корро анҷом медод, ва бо дасти дигар силоҳро нигоҳ медошт.” Наҳемё 4:17». Аъмоли Ҳаввориён, 596.</w:t>
      </w:r>
    </w:p>
    <w:p>
      <w:pPr>
        <w:pStyle w:val="ArticleBody"/>
        <w:jc w:val="left"/>
      </w:pPr>
      <w:r>
        <w:rPr>
          <w:rFonts w:ascii="Times New Roman" w:hAnsi="Times New Roman" w:eastAsia="Times New Roman" w:cs="Times New Roman"/>
        </w:rPr>
        <w:t>Дар ҳар ду порчаи китоби Ишаъё, амал ин аст, ки бунёдҳо ва харобиҳои наслҳои бисёр барқарор карда шаванд. Ишаъё кори рӯҳониеро муайян месозад, ки тавассути кори зоҳирӣ тасвир шуда буд. Бунёдҳо бояд ҳифз карда мешуданд, аммо ба ҷойи ин, оқибат онҳо комилан зери бунёди дурӯғини ҷавоҳироти қалбакӣ пӯшида шуданд. Онҳое ки Ишаъё муайян мекунад, ҳақиқатҳои бунёдии миллериёнро барқарор месозанд, на хиштҳо ва сангҳои айнӣ. Рамзи он ҳақиқатҳо чаҳорчӯбаи Миллер дар бораи ду қудрати харобкунанда аст, ки қудсгоҳ ва лашкарро барои «ҳафт замон» поймол карданд.</w:t>
      </w:r>
    </w:p>
    <w:p>
      <w:pPr>
        <w:pStyle w:val="ArticleBody"/>
        <w:jc w:val="left"/>
      </w:pPr>
      <w:r>
        <w:rPr>
          <w:rFonts w:ascii="Times New Roman" w:hAnsi="Times New Roman" w:eastAsia="Times New Roman" w:cs="Times New Roman"/>
        </w:rPr>
        <w:t>Он кори барқарорсозӣ ҳамчун бардоштани «бунёдҳо» ва «вайрониҳои наслҳои бисёр» тасвир шудааст, ва кори нубувватии барқарор кардани ҳақиқатҳои бунёдиро тавассути он усуле ифода менамояд, ки хатти нубувватро бар хатти нубувват меорад, аз ин ҷо андаке ва аз он ҷо андаке. Кори аз нав барқарор намудани бунёдҳо ва вайрониҳо ҳамон кори пешниҳод ва ҳимоя кардани ҳақиқатҳои аслиест, ки дар нақшаҳои пешоҳангони солҳои 1843 ва 1850 муаррифӣ шудаанд, ва онҳо ду лавҳи боби дуюми Ҳабаққуқ мебошанд. Ва ин кор бо усули борони охирини «хат бар хат» анҷом дода мешавад. Ин кори бозгашт ба роҳҳои қадимаи Ирмиё аст, дар баҳси онҳое ки мехоҳанд бунёди қалбакиро, чунон ки бо ҷавоҳироти дурӯғини хоби Миллер ифода шудааст, устувор нигоҳ доранд.</w:t>
      </w:r>
    </w:p>
    <w:p>
      <w:pPr>
        <w:pStyle w:val="ArticleScripture"/>
        <w:jc w:val="left"/>
      </w:pPr>
      <w:r>
        <w:rPr>
          <w:rFonts w:ascii="Times New Roman" w:hAnsi="Times New Roman" w:eastAsia="Times New Roman" w:cs="Times New Roman"/>
        </w:rPr>
        <w:t>«Душман мекӯшад, ки фикру зеҳни бародарону хоҳарони моро аз кори омода сохтани қавме, ки дар ин рӯзҳои охир устувор биистанд, ба тарафе дигар бикашонад. Софистриҳои ӯ барои он тарҳрезӣ шудаанд, ки зеҳнҳоро аз хатарҳо ва вазифаҳои ин соат дур созанд. Онҳо нурееро, ки Масеҳ аз осмон омад, то барои қавми Худ ба Юҳанно бидиҳад, ҳеҷ мешуморанд. Онҳо таълим медиҳанд, ки манзараҳое, ки акнун дар пеши мост, он қадр аҳаммият надоранд, ки сазовори таваҷҷуҳи махсус бошанд. Онҳо ҳақиқати дорои асли осмониро беасар мегардонанд ва қавми Худоро аз таҷрибаи гузаштаи онҳо маҳрум сохта, ба ҷойи он ба онҳо илми козиб медиҳанд.»</w:t>
      </w:r>
    </w:p>
    <w:p>
      <w:pPr>
        <w:pStyle w:val="ArticleScripture"/>
        <w:jc w:val="left"/>
      </w:pPr>
      <w:r>
        <w:rPr>
          <w:rFonts w:ascii="Times New Roman" w:hAnsi="Times New Roman" w:eastAsia="Times New Roman" w:cs="Times New Roman"/>
        </w:rPr>
        <w:t>«Худованд чунин мегӯяд: Дар роҳҳо биистед, ва бингаред, ва аз роҳҳои қадим бипурсед, ки роҳи нек куҷост, ва дар он қадам занед». Ирмиё 6:16.</w:t>
      </w:r>
    </w:p>
    <w:p>
      <w:pPr>
        <w:pStyle w:val="ArticleScripture"/>
        <w:jc w:val="left"/>
      </w:pPr>
      <w:r>
        <w:rPr>
          <w:rFonts w:ascii="Times New Roman" w:hAnsi="Times New Roman" w:eastAsia="Times New Roman" w:cs="Times New Roman"/>
        </w:rPr>
        <w:t>«Ҳеҷ кас кӯшиш накунад, ки бунёдҳои имони моро канда партояд,—он бунёдҳое, ки дар оғози кори мо тавассути омӯзиши дуогӯёнаи Калом ва бо ваҳй гузошта шуданд. Бар ин бунёдҳо мо дар тӯли панҷоҳ соли охир бино карда истодаем. Одамон метавонанд гумон кунанд, ки роҳи наве ёфтаанд ва метавонанд аз он чи ки гузошта шудааст, бунёди мустаҳкамтаре гузоранд. Аммо ин фиреби бузург аст. Зеро ҳеҷ кас наметавонад бунёди дигаре гузорад, ҷуз он ки аллакай гузошта шудааст.</w:t>
      </w:r>
    </w:p>
    <w:p>
      <w:pPr>
        <w:pStyle w:val="ArticleScripture"/>
        <w:jc w:val="left"/>
      </w:pPr>
      <w:r>
        <w:rPr>
          <w:rFonts w:ascii="Times New Roman" w:hAnsi="Times New Roman" w:eastAsia="Times New Roman" w:cs="Times New Roman"/>
        </w:rPr>
        <w:t>«Дар гузашта бисёре ба бунёд кардани имони нав, ба барқарор намудани усулҳои нав даст задаанд. Аммо бинои онҳо чӣ қадар тӯл кашид? Он ба зудӣ фурӯ рехт, зеро бар Санг бино нашуда буд.</w:t>
      </w:r>
    </w:p>
    <w:p>
      <w:pPr>
        <w:pStyle w:val="ArticleScripture"/>
        <w:jc w:val="left"/>
      </w:pPr>
      <w:r>
        <w:rPr>
          <w:rFonts w:ascii="Times New Roman" w:hAnsi="Times New Roman" w:eastAsia="Times New Roman" w:cs="Times New Roman"/>
        </w:rPr>
        <w:t>«Оё шогирдони нахустин низ маҷбур набуданд, ки бо гуфтаҳои одамон рӯ ба рӯ шаванд? Оё онҳо намебоист ба назарияҳои козиб гӯш диҳанд ва сипас, баъд аз он ки ҳама корро анҷом доданд, устувор биистанд ва бигӯянд: “Зеро ҳеҷ кас наметавонад таҳкурсии дигаре бинад, ҷуз он ки гузошта шудааст”? 1 Қӯринтиён 3:11.»</w:t>
      </w:r>
    </w:p>
    <w:p>
      <w:pPr>
        <w:pStyle w:val="ArticleScripture"/>
        <w:jc w:val="left"/>
      </w:pPr>
      <w:r>
        <w:rPr>
          <w:rFonts w:ascii="Times New Roman" w:hAnsi="Times New Roman" w:eastAsia="Times New Roman" w:cs="Times New Roman"/>
        </w:rPr>
        <w:t>«Пас, мо бояд ибтидои эътимоди худро то ба охир устувор нигоҳ дорем. Суханони пурқувват аз ҷониби Худо ва аз ҷониби Масеҳ ба ин халқ фиристода шудаанд, то онҳоро қадам ба қадам аз ҷаҳон берун оварда, ба нури равшани ҳақиқати ҳозира дароранд. Бо лабоне, ки ба оташи муқаддас ламс ёфтаанд, хизматгорони Худо паёмро эълон карданд. Каломи илоҳӣ муҳри худро бар ҳаққонияти ҳақиқате, ки эълон шудааст, гузоштааст». «Шаҳодатҳо», ҷилди 8, саҳ. 296, 297.</w:t>
      </w:r>
    </w:p>
    <w:p>
      <w:pPr>
        <w:pStyle w:val="ArticleBody"/>
        <w:jc w:val="left"/>
      </w:pPr>
      <w:r>
        <w:rPr>
          <w:rFonts w:ascii="Times New Roman" w:hAnsi="Times New Roman" w:eastAsia="Times New Roman" w:cs="Times New Roman"/>
        </w:rPr>
        <w:t>«кори тайёр кардани қавме, то дар рӯзҳои охир устувор биистанд», ҳамон корест, ки бо ду нубуввати Ҳизқиёл дар боби сиюҳафт вобаста аст. Паёме ба воситаи овози Ишаъё дар биёбон расонида мешавад, ва паёми аввали Ҳизқиёл онҳоеро, ки сеюним рӯз дар кӯчаи шаҳри Садӯм ва Миср мурда буданд, ҷамъ меоварад. Сипас онҳо дарк мекунанд, ки дар вақти таъхири Матто аз масали даҳ бокира будаанд. Баъд аз он онҳо он даъватеро мешунаванд, ки ба Ирмиё дода шуда буд, то гаронбаҳоро аз пастфитрат ҷудо кунад, агар бихоҳанд бозгарданд. Онҳо инчунин дуои Дониёлро дар боби нӯҳ ҳамчун ҳақиқати ҳозира дарк мекунанд. Бинобар ин, агар ва вақте ки онҳо бо пазируфтан ва ба ҷо овардани шартҳои Инҷил бозгаштанро интихоб кунанд, он гоҳ паёми дуюми Ҳизқиёлро қабул мекунанд ва бар пойҳои худ ҳамчун лашкари азиме меистанд.</w:t>
      </w:r>
    </w:p>
    <w:p>
      <w:pPr>
        <w:pStyle w:val="ArticleBody"/>
        <w:jc w:val="left"/>
      </w:pPr>
      <w:r>
        <w:rPr>
          <w:rFonts w:ascii="Times New Roman" w:hAnsi="Times New Roman" w:eastAsia="Times New Roman" w:cs="Times New Roman"/>
        </w:rPr>
        <w:t>«Кори омода сохтани қавме, то дар рӯзҳои охир устувор биистанд», ба воситаи методологияи борони охир — «сатр бар сатр» — ба анҷом мерасад. Ин кор дар бар мегирад кори барқарор сохтани ҳақиқатҳои Миллеритиро, ки дар ҷадвалҳои пешоҳангони солҳои 1843 ва 1850 муаррифӣ шудаанд. Ин ду ҷадвал ду лавҳаи Ҳабаққуқ мебошанд, ва онҳо бояд бар якдигар гузошта шаванд (сатр бар сатр); ва бо ин амал, он ду ҷадвал ҳақиқатҳои бунёдиеро ифода мекунанд, ки бояд дар рӯзҳои охир аз ҷониби марди хасуи хок барқарор карда шаванд.</w:t>
      </w:r>
    </w:p>
    <w:p>
      <w:pPr>
        <w:pStyle w:val="ArticleBody"/>
        <w:jc w:val="left"/>
      </w:pPr>
      <w:r>
        <w:rPr>
          <w:rFonts w:ascii="Times New Roman" w:hAnsi="Times New Roman" w:eastAsia="Times New Roman" w:cs="Times New Roman"/>
        </w:rPr>
        <w:t>Вақте ки онҳо сатр бар сатр ба ҳам оварда мешаванд, иштибоҳеро, ки дар ҷадвали 1843 мавҷуд буд, муайян мекунанд, ки баъдтар дар ҷадвали 1850 ислоҳ гардид. Ҳангоме ки онҳо ҳамчун як ҷадвал (сатр бар сатр) баррасӣ мешаванд, он гоҳ ҳам таҷрибаи қавми Худо ва ҳам таърихи ниҳонии ҳафт раъдро таҷассум мекунанд, зеро якҷоя онҳо ноумедии аввал, вақти таъхир, Нидои Нимаи Шаб, ва 22 октябри 1844, ва ноумедии бузургро нишон медиҳанд.</w:t>
      </w:r>
    </w:p>
    <w:p>
      <w:pPr>
        <w:pStyle w:val="ArticleBody"/>
        <w:jc w:val="left"/>
      </w:pPr>
      <w:r>
        <w:rPr>
          <w:rFonts w:ascii="Times New Roman" w:hAnsi="Times New Roman" w:eastAsia="Times New Roman" w:cs="Times New Roman"/>
        </w:rPr>
        <w:t>Ин ноумедии аввал, Фарёди Нимашаб ва ноумедии бузург аст, ки таърихи пинҳонии ҳафт раъдро ташкил медиҳад. Ин сохтори ҳақиқат аст, зеро ҳақиқат бар он асос ёфтааст, ки ҳарфи аввал ва охирини калимаи ибрии «ҳақиқат» ҳамонанд, чунон ки ноумедии аввал ва охирини он таърих низ ҳамонанд. Ҳарфи миёна, яъне ҳарфи сенздаҳум, рамзи исён аст, чунон ки онро онҳое намояндагӣ мекунанд, ки паёми Фарёди Нимашабро рад менамоянд. Ду ҷадвал, вақте бо ҳам оварда мешаванд, ба ҳақиқатҳои нубувватии миллеритҳо, ки бояд аз ҷониби марди хасубарқалам барқарор карда шаванд, ду шоҳид фароҳам меоранд; вале ҳамчунин он таҷрибаро низ муайян месозанд, ки намунаи таҷрибаи яксаду чилу чаҳор ҳазор мебошад.</w:t>
      </w:r>
    </w:p>
    <w:p>
      <w:pPr>
        <w:pStyle w:val="ArticleBody"/>
        <w:jc w:val="left"/>
      </w:pPr>
      <w:r>
        <w:rPr>
          <w:rFonts w:ascii="Times New Roman" w:hAnsi="Times New Roman" w:eastAsia="Times New Roman" w:cs="Times New Roman"/>
        </w:rPr>
        <w:t>Онҳое, ки даъват шуда буданд то байрақ бошанд (як саду чилу чор ҳазор), 18 июли соли 2020 бо нахустин ноумедии худ рӯ ба рӯ шуданд, ва сипас дар моҳи июли соли 2023 ба онҳо паёме аз овозе, ки дар биёбон нидо мекард, расонида шуд. Он овоз онҳоро ба бозгашт даъват мекард.</w:t>
      </w:r>
    </w:p>
    <w:p>
      <w:pPr>
        <w:pStyle w:val="ArticleBody"/>
        <w:jc w:val="left"/>
      </w:pPr>
      <w:r>
        <w:rPr>
          <w:rFonts w:ascii="Times New Roman" w:hAnsi="Times New Roman" w:eastAsia="Times New Roman" w:cs="Times New Roman"/>
        </w:rPr>
        <w:t>Маҳз дар ҳамин нуқта дар таърихи пинҳони ҳафт раъд исён зоҳир хоҳад шуд, зеро аломати навбатӣ он гоҳ аст, ки марди ҷорӯби хок ҷавоҳиротро ҷамъ оварда, онҳоро ба сандуқча меандозад. Он гоҳ онҳо даҳ баробар дурахшонтар медурахшанд. Дар ҳамон нуқта Миллер бедор карда шуд. Вақте ки бокираҳо (Миллер) бедор мешаванд, дигар дер шудааст. Барқарорсозии вайрониҳои наслҳои бисёр корест, ки ду шоҳид бояд дар он ширкат варзанд. Ин кор ҳоло ба иҷро расонида мешавад.</w:t>
      </w:r>
    </w:p>
    <w:p>
      <w:pPr>
        <w:pStyle w:val="ArticleBody"/>
        <w:jc w:val="left"/>
      </w:pPr>
      <w:r>
        <w:rPr>
          <w:rFonts w:ascii="Times New Roman" w:hAnsi="Times New Roman" w:eastAsia="Times New Roman" w:cs="Times New Roman"/>
        </w:rPr>
        <w:t>Чаҳорчӯбаи пешгӯиҳое, ки Вилям Миллер онҳоро дар рӯъёи дарёи Ӯлой ва дар бобҳои ҳафтум, ҳаштум ва нӯҳуми китоби Дониёл муаррифӣ кард, аз ду қудрати вайронгари бутпарастӣ ва папизм иборат буд; ва чаҳорчӯба барои Future for America бутпарастӣ (аждаҳо), баъдан папизм (ҳайвон) ва протестантизми муртад (пайғамбари дурӯғин) мебошад. Калиде, ки ҳар ду чаҳорчӯбаро барқарор месозад, навиштаҳои расул Павлус аст. Расул Павлус овози пешгӯёна буд, ки Исроили қадимро бо Исроили рӯҳонӣ пайваст. Пеш аз имон овардани худ, номи Павлус Шоул буд, ки маънояш «интихобшуда» ё «пеш гузошташуда» мебошад.</w:t>
      </w:r>
    </w:p>
    <w:p>
      <w:pPr>
        <w:pStyle w:val="ArticleBody"/>
        <w:jc w:val="left"/>
      </w:pPr>
      <w:r>
        <w:rPr>
          <w:rFonts w:ascii="Times New Roman" w:hAnsi="Times New Roman" w:eastAsia="Times New Roman" w:cs="Times New Roman"/>
        </w:rPr>
        <w:t>Павлус баргузида (интихоб) карда шуд, то расули халқҳо бошад, ва ӯ, аз ҷумла, барои фаҳмиши худ аз Аҳди Қадим интихоб гардид. Азбаски ӯ қисми зиёди Аҳди Ҷадидро навишт, дар миёни муаллифони Аҳди Ҷадид ҳеҷ каси дигаре набуд, ки фаҳмиши Аҳди Қадимро ба андозаи Павлус доро бошад. Ӯ интихоб шуда буд, то дар ба халқҳо пешкаш намудани Инҷил роҳбарӣ намояд, аммо ҳамчунин барои он интихоб гардид, ки робитаи таърихҳои нубувватии Аҳди Қадимро бо таърихи нубувватие, ки пас аз давраи салиб фаро расид, барқарор созад. Бе шаҳодати Павлус, фаҳмиши нубувватии миллериён ва низ фаҳмиши Future for America тамоман вуҷуд намедошт. Дар ҳамон таърихе ки дар он Исроили айнӣ ҳамчун қавми баргузидаи Худо талоқ дода шуд, Павлус интихоб гардид, то муайян созад, ки он Исроили қадим, гарчанде он вақт аз Худо талоқ дода шуда буд, рамзи таърихи нубувватии Исроили рӯҳонӣ буд. Қоидаҳои зарурии нубувватӣ барои ҳаракатҳои фариштаи якум ва сеюм асосан бар навиштаҳои расул Павлус бино ёфтаанд.</w:t>
      </w:r>
    </w:p>
    <w:p>
      <w:pPr>
        <w:pStyle w:val="ArticleBody"/>
        <w:jc w:val="left"/>
      </w:pPr>
      <w:r>
        <w:rPr>
          <w:rFonts w:ascii="Times New Roman" w:hAnsi="Times New Roman" w:eastAsia="Times New Roman" w:cs="Times New Roman"/>
        </w:rPr>
        <w:t>Бинобар ин, мо баъзе аз усулҳои нубувватиро, ки Павлус муайян кардааст ва ба паёми миллериён таъсир расонид, баррасӣ хоҳем кард; паёме ки дар чорчӯбаи ду қувваи вайронгар қарор дода шуда буд, ва бо ин амал ҳамчунин баррасӣ хоҳем намуд, ки он усулҳо ба чорчӯбаи се қувваи вайронгар чӣ гуна таъсир мерасонанд.</w:t>
      </w:r>
    </w:p>
    <w:p>
      <w:pPr>
        <w:pStyle w:val="ArticleScripture"/>
        <w:jc w:val="left"/>
      </w:pPr>
      <w:r>
        <w:rPr>
          <w:rFonts w:ascii="Times New Roman" w:hAnsi="Times New Roman" w:eastAsia="Times New Roman" w:cs="Times New Roman"/>
        </w:rPr>
        <w:t>Зеро намехоҳам, эй бародарон, ки шумо бехабар бошед аз он ки ҳамаи падарони мо зери абр буданд, ва ҳама аз миёни баҳр гузаштанд; ва ҳама дар абр ва дар баҳр барои Мусо таъмид ёфтанд; ва ҳама як таоми рӯҳониро хӯрданд; ва ҳама як нӯшокии рӯҳониро нӯшиданд, зеро ки аз он Сахраи рӯҳонӣ менӯшиданд, ки онҳоро пайравӣ мекард; ва он Сахра Масеҳ буд. Аммо аз бисёре аз онҳо Худо розӣ набуд, зеро ки онҳо дар биёбон ҳалок гардиданд. Ва ин чизҳо барои мо намунаҳо шуданд, то мо ба чизҳои бад тамаъ накунем, чунон ки онҳо низ тамаъ карданд. Ва бутпараст мабошед, чунон ки баъзе аз онҳо буданд; чунон ки навишта шудааст: «Қавм барои хӯрдану нӯшидан нишастанд, ва бархостанд, то бозӣ кунанд». Ва зино накунем, чунон ки баъзе аз онҳо карданд, ва дар як рӯз бисту се ҳазор фурӯ афтоданд. Ва Масеҳро наозмоем, чунон ки баъзе аз онҳо низ озмуданд, ва аз морон ҳалок шуданд. Ва шикоят накунед, чунон ки баъзе аз онҳо низ шикоят карданд, ва аз ҷониби ҳалоккунанда нобуд гардиданд. Ва ҳамаи ин чизҳо бар онҳо ҳамчун намунаҳо воқеъ шуданд; ва барои панд додани мо навишта шудаанд, ки бар мо поёнҳои ҷаҳон расидааст. 1 Қӯринтиён 10:1–10.</w:t>
      </w:r>
    </w:p>
    <w:p>
      <w:pPr>
        <w:pStyle w:val="ArticleBody"/>
        <w:jc w:val="left"/>
      </w:pPr>
      <w:r>
        <w:rPr>
          <w:rFonts w:ascii="Times New Roman" w:hAnsi="Times New Roman" w:eastAsia="Times New Roman" w:cs="Times New Roman"/>
        </w:rPr>
        <w:t>Дар даҳ ояти кӯтоҳ, Павлус нишон медиҳад, ки маросими таъмид дар убури Баҳри Сурх ба таври рамзӣ пешнамоӣ шуда буд, ки Он Санг, ки Исроили қадимро ҳамроҳӣ мекард, «Санги рӯҳонӣ» буд, ва он Масеҳ буд. Ӯ нишон медиҳад, ки Исроили қадим барои онҳое ки дар рӯзҳои охир зиндагӣ мекунанд, намуна буд. Ин порча ҳушдор аст, ва ин порча нуқтаи баҳс миёни онҳое мебошад, ки ҳақиқатро устувор нигоҳ медоранд, ва онҳое ки ба ҳақиқат муқобилат мекунанд. Илоҳиётшиносони адвентист таълим медиҳанд, ки Павлус фақат нишон медод, ки таърихҳои Исроили қадим дарсҳои ахлоқиро таҷассум мекарданд, ки бояд аз ҷониби онҳое ки дар рӯзҳои охир зиндагӣ мекунанд, фаҳмида шаванд, аммо онҳо пофишорӣ мекунанд, ки Павлус нишон намедод, ки таърихҳои Исроили воқеӣ дар асл мебоист аз ҷониби Исроили рӯҳонӣ такрор шаванд. Хоҳар Уайт бисёр вақт ин порчаро истифода мебарад, то айнан ҳамон чизеро, ки Павлус дар назар дошт, тасдиқ намояд.</w:t>
      </w:r>
    </w:p>
    <w:p>
      <w:pPr>
        <w:pStyle w:val="ArticleScripture"/>
        <w:jc w:val="left"/>
      </w:pPr>
      <w:r>
        <w:rPr>
          <w:rFonts w:ascii="Times New Roman" w:hAnsi="Times New Roman" w:eastAsia="Times New Roman" w:cs="Times New Roman"/>
        </w:rPr>
        <w:t>«Ҳар яке аз анбиёи қадим барои замони худ камтар аз он сухан гуфтанд, ки барои замони мо, ба тавре ки нубуввати онҳо барои мо дар амал аст. “Вале ҳамаи ин чизҳо ба онҳо ҳамчун намунаҳо рӯй дод; ва барои панду насиҳати мо навишта шудааст, ки бар мо охирҳои ҷаҳон омадааст.” 1 Қӯринтиён 10:11. “На барои худ, балки барои мо онҳо дар бораи он чизҳо хизмат мекарданд, ки акнун ба шумо аз ҷониби онҳое эълон шудааст, ки ба шумо Инҷилро ба воситаи Рӯҳулқудси аз осмон фиристодашуда мавъиза кардаанд; чизҳое ки фариштагон орзу доранд ба онҳо назар андозанд.” 1 Петрус 1:12....»</w:t>
      </w:r>
    </w:p>
    <w:p>
      <w:pPr>
        <w:pStyle w:val="ArticleScripture"/>
        <w:jc w:val="left"/>
      </w:pPr>
      <w:r>
        <w:rPr>
          <w:rFonts w:ascii="Times New Roman" w:hAnsi="Times New Roman" w:eastAsia="Times New Roman" w:cs="Times New Roman"/>
        </w:rPr>
        <w:t>«Китоби Муқаддас ганҷҳои худро барои ҳамин насли охирин ҷамъ оварда, якҷо бастааст. Ҳамаи воқеаҳои бузург ва муомилоти ҷиддии таърихи Аҳди Қадим дар ин рӯзҳои охир дар калисо такрор шудаанд ва такрор мешаванд». Selected Messages, book 3, 338, 339.</w:t>
      </w:r>
    </w:p>
    <w:p>
      <w:pPr>
        <w:pStyle w:val="ArticleBody"/>
        <w:jc w:val="left"/>
      </w:pPr>
      <w:r>
        <w:rPr>
          <w:rFonts w:ascii="Times New Roman" w:hAnsi="Times New Roman" w:eastAsia="Times New Roman" w:cs="Times New Roman"/>
        </w:rPr>
        <w:t>«Рӯйдодҳои бузург ва муомилоти ҷиддии таърихи Аҳди Қадим дар ин рӯзҳои охир дар калисо такрор шудаанд ва такрор мешаванд», — чунин аст хулосаи хоҳар Уайт аз маънои суханони Павлус дар он оятҳо. Дар кӯшиши суст гардондани муайянкунии Павлус, ки Исроили қадим ба таври рамзӣ таърихи Исроили воқеиро тасвир мекунад, Шайтон бар зидди ин усули нубувватӣ ду ҳамлаи асосиро пеш овардааст. Аввалӣ, ки ман аллакай ёдовар шуда будам, ин иддаост, ки Павлус фақат нишон медод, ки он таърихҳо дарсҳои ахлоқиро ифода мекарданд. Он таълими дурӯғин нимҳақиқат аст, ва нимҳақиқат умуман ҳақиқат нест. Рост аст, ки дарсҳои ахлоқие, ки мумкин аст аз таърихи Исроили қадим бароварда шаванд, барои манфиати онҳое ҳастанд, ки дар рӯзҳои охир зиндагӣ мекунанд; аммо вақте ки аз ин барои инкор кардани он истифода мешавад, ки он таърихҳо ҳамчунин тасвири рӯйдодҳое мебошанд, ки такрор хоҳанд шуд, он ба нимҳақиқате табдил меёбад, ки барои инкор кардани ҳақиқат тарҳрезӣ шудааст.</w:t>
      </w:r>
    </w:p>
    <w:p>
      <w:pPr>
        <w:pStyle w:val="ArticleScripture"/>
        <w:jc w:val="left"/>
      </w:pPr>
      <w:r>
        <w:rPr>
          <w:rFonts w:ascii="Times New Roman" w:hAnsi="Times New Roman" w:eastAsia="Times New Roman" w:cs="Times New Roman"/>
        </w:rPr>
        <w:t>«Акнун баракат ё лаънат дар пеши қавми Худост — баракат, агар онҳо аз ҷаҳон берун оянд ва ҷудо бошанд, ва дар роҳи итоати фурӯтанона қадам зананд; ва лаънат, агар онҳо бо бутпарастон муттаҳид шаванд, ки даъвоҳои олии осмонро поймол мекунанд. Гуноҳҳо ва шароратҳои Исроили исёнгар сабт шудаанд, ва ин манзара ҳамчун огоҳӣ пеши назари мо гузошта шудааст, то ки агар мо намунаи таҷовузи онҳоро тақлид кунем ва аз Худо дур шавем, мо низ ба ҳамон яқин суқут хоҳем кард, чунон ки онҳо карданд. “Акнун ҳамаи ин чизҳо ба онҳо ҳамчун ибрат рӯй доданд; ва онҳо барои насиҳати мо навишта шудаанд, ки бар мо охирҳои ҷаҳон расидааст.”» Testimonies, ҷилди 1, 609.</w:t>
      </w:r>
    </w:p>
    <w:p>
      <w:pPr>
        <w:pStyle w:val="ArticleBody"/>
        <w:jc w:val="left"/>
      </w:pPr>
      <w:r>
        <w:rPr>
          <w:rFonts w:ascii="Times New Roman" w:hAnsi="Times New Roman" w:eastAsia="Times New Roman" w:cs="Times New Roman"/>
        </w:rPr>
        <w:t>Як ҳақиқат набояд барои инкори ҳақиқати дигар истифода шавад, зеро ҳар гоҳ чунин шавад, ҳақиқати Худоро ба дурӯғ табдил медиҳад.</w:t>
      </w:r>
    </w:p>
    <w:p>
      <w:pPr>
        <w:pStyle w:val="ArticleScripture"/>
        <w:jc w:val="left"/>
      </w:pPr>
      <w:r>
        <w:rPr>
          <w:rFonts w:ascii="Times New Roman" w:hAnsi="Times New Roman" w:eastAsia="Times New Roman" w:cs="Times New Roman"/>
        </w:rPr>
        <w:t>«Як гуфтаи Наҷотдиҳанда набояд барои аз байн бурдани гуфтаи дигаре ба кор бурда шавад». «Муборизаи Бузург», 371.</w:t>
      </w:r>
    </w:p>
    <w:p>
      <w:pPr>
        <w:pStyle w:val="ArticleBody"/>
        <w:jc w:val="left"/>
      </w:pPr>
      <w:r>
        <w:rPr>
          <w:rFonts w:ascii="Times New Roman" w:hAnsi="Times New Roman" w:eastAsia="Times New Roman" w:cs="Times New Roman"/>
        </w:rPr>
        <w:t>Таълиме, ки таърихи Исроили қадимро танҳо намунаҳои ахлоқӣ мешуморад, бисёр вақт аз ҷониби илоҳиётшиносони Адвентист барои вайрон сохтани Каломи нубувватии Худо истифода мешавад, ва он яке аз он нимҳақиқатҳост, ки дар табақи афсонаҳо ворид карда шудааст, то қавми Худоро фиреб диҳанд ва онҳоро водор созанд, ки дурӯғро қабул кунанд; ва он дурӯғе, ки онҳо қабул мекунанд, дар навиштаҳои расули Павлус муайян шудааст.</w:t>
      </w:r>
    </w:p>
    <w:p>
      <w:pPr>
        <w:pStyle w:val="ArticleBody"/>
        <w:jc w:val="left"/>
      </w:pPr>
      <w:r>
        <w:rPr>
          <w:rFonts w:ascii="Times New Roman" w:hAnsi="Times New Roman" w:eastAsia="Times New Roman" w:cs="Times New Roman"/>
        </w:rPr>
        <w:t>Ҳуҷуми асосии дигаре бар зидди принсипе, ки таърихи Исроили қадим таърихи Исроили муосирро тасвир мекунад, аз ҷониби йезуитҳо дар ҷараёни таърихи зидди Ислоҳот ихтироъ карда шуд, ва он аз пазируфтани ин ақида иборат аст, ки таърихи Исроили қадим такрор мешавад. Дурӯғи йезуитӣ дар он аст, ки таърих ба таври айнӣ такрор мешавад, на ба таври рӯҳонӣ. Ин дурӯғ ҳамчун василае ихтироъ карда шуд, то фаҳмиши он ки папаи Рум зиддимасеҳи нубуввати Китоби Муқаддас аст, пешгирӣ гардад; зеро ин таълим ба ҳақиқат розигӣ медиҳад, ки дар рӯзҳои охир зиддимасеҳе ҳаст, аммо баҳс мекунад, ки зиддимасеҳ бо қудрати айнӣ, на бо қудрати рӯҳонӣ, муаррифӣ мешавад. Пас, фоҳишае, ки дар Ваҳй боби ҳабдаҳ зикр шудааст ва бар пешониаш «сирри Бобил» навишта шудааст, бояд фоҳишае бошад, ки дар замини айнӣи Бобил, ки имрӯз Ироқ аст, бармехезад.</w:t>
      </w:r>
    </w:p>
    <w:p>
      <w:pPr>
        <w:pStyle w:val="ArticleScripture"/>
        <w:jc w:val="left"/>
      </w:pPr>
      <w:r>
        <w:rPr>
          <w:rFonts w:ascii="Times New Roman" w:hAnsi="Times New Roman" w:eastAsia="Times New Roman" w:cs="Times New Roman"/>
        </w:rPr>
        <w:t>«Онҳое ки дар фаҳмиши калом сардаргум мешаванд ва маънои зиддимасеҳро намебинанд, яқинан худро ба ҷониби зиддимасеҳ хоҳанд гузошт». Kress Collection, 105.</w:t>
      </w:r>
    </w:p>
    <w:p>
      <w:pPr>
        <w:pStyle w:val="ArticleBody"/>
        <w:jc w:val="left"/>
      </w:pPr>
      <w:r>
        <w:rPr>
          <w:rFonts w:ascii="Times New Roman" w:hAnsi="Times New Roman" w:eastAsia="Times New Roman" w:cs="Times New Roman"/>
        </w:rPr>
        <w:t>Папа шахси воқеӣ аст, ки қудрати воқеиро (калисои католикӣ) намояндагӣ мекунад, аммо ӯ ва созмони вай ба таври нубувватӣ ба воситаи Бобили воқеӣ муайян гардидаанд ва танҳо ҳамон вақт дуруст шинохта шуда метавонанд, ки мавзӯи зиддимасеҳ ҳамчун иҷрошавии рӯҳонии як намунаи воқеӣ баён карда шавад. Павлус нишон дод, ки Исроили воқеӣ Исроили рӯҳониро тасвир менамояд, аммо ин ҳақиқати нави нубувватӣ набуд, ки ӯ онро пешниҳод кардааст, зеро фаҳмиши ӯ умуман бар Аҳди Қадим асос ёфта буд, ва шаҳодати ӯ маҳз бар он ҷо устувор аст.</w:t>
      </w:r>
    </w:p>
    <w:p>
      <w:pPr>
        <w:pStyle w:val="ArticleScripture"/>
        <w:jc w:val="left"/>
      </w:pPr>
      <w:r>
        <w:rPr>
          <w:rFonts w:ascii="Times New Roman" w:hAnsi="Times New Roman" w:eastAsia="Times New Roman" w:cs="Times New Roman"/>
        </w:rPr>
        <w:t>Ҳамин тавр Худованд, Подшоҳи Исроил, ва Наҷотдиҳандаи ӯ, Худованди лашкарҳо, мегӯяд: Ман аввалин ҳастам, ва Ман охирин ҳастам; ва ғайр аз Ман Худое нест. Ва кист, ки мисли Ман бихонад, ва онро эълон кунад, ва барои Ман ба тартиб дарорад, аз он замоне ки Ман қавми қадимро барпо намудам? Ва чизҳоеро, ки меоянд ва ба амал хоҳанд омад, бигзор ба онҳо нишон диҳанд. Натарсед, ва ҳаросон мабошед: оё Ман аз ҳамон вақт ба ту нагуфтаам ва эълон накардаам? Шумо худ шоҳидони Ман ҳастед. Оё ғайр аз Ман Худое ҳаст? Оре, Худое нест; Ман ҳеҷ каси дигарро намешиносам. Ишаъё 44:6–8.</w:t>
      </w:r>
    </w:p>
    <w:p>
      <w:pPr>
        <w:pStyle w:val="ArticleBody"/>
        <w:jc w:val="left"/>
      </w:pPr>
      <w:r>
        <w:rPr>
          <w:rFonts w:ascii="Times New Roman" w:hAnsi="Times New Roman" w:eastAsia="Times New Roman" w:cs="Times New Roman"/>
        </w:rPr>
        <w:t>Мо бояд шоҳидони Масеҳ бошем, чунон ки Павлус буд, ки Алфа ва Омега на танҳо Исроили қадим, балки ҳамаи мардумони қадими Китоби Муқаддасро низ ҳамчун рамзҳо таъйин кардааст, то «он чиро, ки ба вуқӯъ хоҳад пайваст», ба онҳое нишон диҳанд, ки дар айёми охир зиндагӣ мекунанд. Павлус донандаи мумтози Аҳди Қадим буд, ва ӯ бархезонда шуд, то пайванди нубувватии васлкунанда байни давраи Исроили айнӣ ва рӯҳонӣ бошад. Маҳз навиштаҳои ӯ буданд, ки онҳоеро, ки афзоиши донишро дар замони поён дар соли 1798, ва ҳамчунин дар соли 1989, дарк карданд, роҳнамоӣ намуданд.</w:t>
      </w:r>
    </w:p>
    <w:p>
      <w:pPr>
        <w:pStyle w:val="ArticleBody"/>
        <w:jc w:val="left"/>
      </w:pPr>
      <w:r>
        <w:rPr>
          <w:rFonts w:ascii="Times New Roman" w:hAnsi="Times New Roman" w:eastAsia="Times New Roman" w:cs="Times New Roman"/>
        </w:rPr>
        <w:t>Бобили қадимаи айнӣ, фарзандони қадимаи шарқ, Мисри қадим, Юнони қадим ва империяи қадимаи Модию Форс рамзҳои қудратҳои рӯҳонӣ дар охири ҷаҳон мебошанд. Рамзҳои қадима ҳамон воқеияти айнианд, ки пеш меоянд ва он рӯҳониеро, ки баъд меояд, намояндагӣ мекунанд. Павлус ҳатто то он ҷо меравад, ки Одами айниро рамзи Одами рӯҳонӣ (ки Масеҳ аст) мешиносонад.</w:t>
      </w:r>
    </w:p>
    <w:p>
      <w:pPr>
        <w:pStyle w:val="ArticleScripture"/>
        <w:jc w:val="left"/>
      </w:pPr>
      <w:r>
        <w:rPr>
          <w:rFonts w:ascii="Times New Roman" w:hAnsi="Times New Roman" w:eastAsia="Times New Roman" w:cs="Times New Roman"/>
        </w:rPr>
        <w:t>Ва чунин навишта шудааст: «Одами аввал — Одам — ҷони зинда гардид; Одами охирин рӯҳи ҳаётбахш гардид». Аммо аввал он чи рӯҳонӣ аст, нест, балки он чи табиӣ аст; ва баъд аз он — он чи рӯҳонӣ аст. Одами аввал аз замин аст, хокӣ; Одами дуюм Худовандест аз осмон. Чунон ки хокӣ аст, ҳамчунин онҳое низ, ки хокӣ ҳастанд; ва чунон ки осмонӣ аст, ҳамчунин онҳое низ, ки осмонӣ ҳастанд. Ва чунон ки мо сурати он хокиро бардоштем, ҳамон тавр сурати он осмониро низ хоҳем бардошт. 1 Қӯринтиён 15:45–49.</w:t>
      </w:r>
    </w:p>
    <w:p>
      <w:pPr>
        <w:pStyle w:val="ArticleBody"/>
        <w:jc w:val="left"/>
      </w:pPr>
      <w:r>
        <w:rPr>
          <w:rFonts w:ascii="Times New Roman" w:hAnsi="Times New Roman" w:eastAsia="Times New Roman" w:cs="Times New Roman"/>
        </w:rPr>
        <w:t>Дар бораи Одами аввалин ва Одами охирин Павлус баъзе дарсҳои бисёр амиқро таълим медиҳад, вале мо фақат ҳамон принсиперо муайян менамоем, ки ӯ дар ин порча хеле равшан баён мекунад, вақте мегӯяд: «он чи рӯҳонӣ аст, аввал набуд, балки он чи табиӣ аст; ва баъд аз он он чи рӯҳонӣ аст». Маънои зоҳирӣ, ки Павлус онро дар ин ҷо «табиӣ» меномад, аввал аст, ва рӯҳонӣ охирон аст. Исроили зоҳирӣ аввал буд, ва табиӣ буд, ва Исроили рӯҳонӣ «баъд аз он» меояд.</w:t>
      </w:r>
    </w:p>
    <w:p>
      <w:pPr>
        <w:pStyle w:val="ArticleBody"/>
        <w:jc w:val="left"/>
      </w:pPr>
      <w:r>
        <w:rPr>
          <w:rFonts w:ascii="Times New Roman" w:hAnsi="Times New Roman" w:eastAsia="Times New Roman" w:cs="Times New Roman"/>
        </w:rPr>
        <w:t>Бобили аслӣ пеш аз Бобили рӯҳонӣ меояд. Нуқтаи муҳими навбатӣ, ки дар навиштаҳои Павлус таъкид шудааст, ҳамон нуқтаест дар таърих, ки дар он гузариш аз маънои аслӣ ба маънои рӯҳонӣ бояд татбиқ гардад. Ин ҳамон давраи салиб аст, ки дар он тағйири нубувватӣ аз аслӣ ба рӯҳонӣ муайян карда мешавад.</w:t>
      </w:r>
    </w:p>
    <w:p>
      <w:pPr>
        <w:pStyle w:val="ArticleScripture"/>
        <w:jc w:val="left"/>
      </w:pPr>
      <w:r>
        <w:rPr>
          <w:rFonts w:ascii="Times New Roman" w:hAnsi="Times New Roman" w:eastAsia="Times New Roman" w:cs="Times New Roman"/>
        </w:rPr>
        <w:t>Зеро ҳамаи шумо ба воситаи имон ба Масеҳ Исо фарзандони Худо ҳастед. Зеро ҳамаи шумо, ки дар Масеҳ таъмид гирифтаед, Масеҳро дар бар кардаед. Дар он ҷо на яҳудӣ ҳасту на юнонӣ, на ғулом ҳасту на озод, на мард ҳасту на зан; зеро ҳамаи шумо дар Масеҳ Исо як ҳастед. Ва агар шумо аз они Масеҳ бошед, пас насли Иброҳим ҳастед ва мувофиқи ваъда ворисонед. Ғалотиён 3:26–29.</w:t>
      </w:r>
    </w:p>
    <w:p>
      <w:pPr>
        <w:pStyle w:val="ArticleBody"/>
        <w:jc w:val="left"/>
      </w:pPr>
      <w:r>
        <w:rPr>
          <w:rFonts w:ascii="Times New Roman" w:hAnsi="Times New Roman" w:eastAsia="Times New Roman" w:cs="Times New Roman"/>
        </w:rPr>
        <w:t>Муҳим нест, ки ҳуқуқи таваллуди шумо чӣ бошад; агар ва чун Масеҳро қабул кунед, он гоҳ шумо насли Иброҳим мегардед. Шумо Исроили ҷисмонӣ нестед; шумо Исроили рӯҳонӣ ҳастед. Гузариш аз ҷисмонӣ ба рӯҳонӣ салиб буд. Павлус инсониятро ба ду гурӯҳ ҷудо мекунад. Ҳар гурӯҳ аҳди худро дорад, ҳар яке аз авлоди Иброҳим аст. Ҳар яке шаҳре дорад, ки хонавода ва аҳди онҳоро намояндагӣ мекунад. Ҳар яке ё писари Одами ҷисмонӣ аст ё Одами рӯҳонӣ.</w:t>
      </w:r>
    </w:p>
    <w:p>
      <w:pPr>
        <w:pStyle w:val="ArticleScripture"/>
        <w:jc w:val="left"/>
      </w:pPr>
      <w:r>
        <w:rPr>
          <w:rFonts w:ascii="Times New Roman" w:hAnsi="Times New Roman" w:eastAsia="Times New Roman" w:cs="Times New Roman"/>
        </w:rPr>
        <w:t>Зеро навишта шудааст, ки Иброҳим ду писар дошт: яке аз каниз, ва дигаре аз зани озод. Лекин он ки аз каниз буд, мувофиқи ҷисм таваллуд ёфт; аммо он ки аз зани озод буд, ба воситаи ваъда. Ин чизҳо рамзӣ ҳастанд, зеро инҳо ду аҳданд: яке аз кӯҳи Сино, ки ба ғуломӣ мезояд, ва он Ҳоҷар аст. Зеро ин Ҳоҷар кӯҳи Сино дар Арабистон аст ва ба Ерусалиме ки ҳоло ҳаст, мувофиқат мекунад, ва бо фарзандони худ дар ғуломӣ аст. Аммо Ерусалиме ки болотар аст, озод аст, ва ӯ модари ҳамаи мост. Зеро навишта шудааст: «Шод бош, эй нозое, ки намезоӣ; ба овоз о ва нидо кун, эй ту ки дарди зоиш намекашӣ; зеро фарзандони зани танҳо бисёртаранд аз он ки шавҳар дорад». Акнун мо, эй бародарон, мисли Исҳоқ фарзандони ваъдаем. Аммо чунон ки он замон он ки мувофиқи ҷисм таваллуд ёфта буд, онеро ки мувофиқи Рӯҳ таваллуд ёфта буд, таъқиб мекард, ҳамин тавр ҳоло низ. Бо вуҷуди ин, Навишта чӣ мегӯяд? «Каниз ва писари ӯро берун кун, зеро писари каниз бо писари зани озод ворис нахоҳад шуд». Пас, эй бародарон, мо фарзандони каниз нестем, балки фарзандони зани озод ҳастем. Ғалотиён 4:22–30.</w:t>
      </w:r>
    </w:p>
    <w:p>
      <w:pPr>
        <w:pStyle w:val="ArticleBody"/>
        <w:jc w:val="left"/>
      </w:pPr>
      <w:r>
        <w:rPr>
          <w:rFonts w:ascii="Times New Roman" w:hAnsi="Times New Roman" w:eastAsia="Times New Roman" w:cs="Times New Roman"/>
        </w:rPr>
        <w:t>Дар давраи салиб, он чи қадим ва айнан буд, ба рамзҳои рӯҳонии замони муосир табдил ёфт. Расул Павлус ин ҳақоиқи муҳими нубувватиро равшан сохт, ки ба Вилям Миллер имкон дод чаҳорчӯби ду қудрати вайронкунандаеро барқарор намояд, ки ҳамаи хулосаҳои нубувватии худро бар он асос гузошт. Ҳамон амале, ки аз ҷониби расул Павлус анҷом дода шуд, ҳамон чизест, ки се қудрати вайронкунандаеро муайян месозад, ки чаҳорчӯби ҳамаи хулосаҳои нубувватии Future for America мебошад.</w:t>
      </w:r>
    </w:p>
    <w:p>
      <w:pPr>
        <w:pStyle w:val="ArticleBody"/>
        <w:jc w:val="left"/>
      </w:pPr>
      <w:r>
        <w:rPr>
          <w:rFonts w:ascii="Times New Roman" w:hAnsi="Times New Roman" w:eastAsia="Times New Roman" w:cs="Times New Roman"/>
        </w:rPr>
        <w:t>Чаҳорчӯби фаҳмиши Миллер дар бораи афзоиши дониш, ки бо рӯъёи дарёи Ӯлой дар бобҳои ҳафтум, ҳаштум ва нуҳум тасвир шудааст, бар асоси кашфи ӯ бино ёфта буд, ки «доимӣ» дар китоби Дониёл рамзи Руми бутпараст мебошад. Ӯ ин кашфро дар номаи дуюми Павлус ба Таслӯникиён ба даст овард. Ин фаҳмиш ҳақиқати асосиест, ки дар иртибот бо «дурӯғи» нубувватӣ муайян шудааст ва боис мегардад, ки дар рӯзҳои охир бар Адвентистони рӯзи ҳафтум гумроҳии қавӣ нозил гардад.</w:t>
      </w:r>
    </w:p>
    <w:p>
      <w:pPr>
        <w:pStyle w:val="ArticleBody"/>
        <w:jc w:val="left"/>
      </w:pPr>
      <w:r>
        <w:rPr>
          <w:rFonts w:ascii="Times New Roman" w:hAnsi="Times New Roman" w:eastAsia="Times New Roman" w:cs="Times New Roman"/>
        </w:rPr>
        <w:t>Мо дар мақолаи навбатӣ омӯзиши худро дар бораи афзоиши дониш, ки бо рӯъёи дарёи Улай муаррифӣ шудааст, идома хоҳем дод, бо баррасии он чи ки Миллер дар номаи Павлус дарк карда буд.</w:t>
      </w:r>
    </w:p>
    <w:p>
      <w:pPr>
        <w:pStyle w:val="ArticleScripture"/>
        <w:jc w:val="left"/>
      </w:pPr>
      <w:r>
        <w:rPr>
          <w:rFonts w:ascii="Times New Roman" w:hAnsi="Times New Roman" w:eastAsia="Times New Roman" w:cs="Times New Roman"/>
        </w:rPr>
        <w:t>«Он ки зери зоҳирро мебинад ва дилҳои ҳамаи одамонро мехонад, дар бораи онҳое ки нури бузург ёфтаанд, чунин мегӯяд: “Онҳо аз сабаби ҳолати ахлоқӣ ва рӯҳонии худ ранҷур ва ба ҳайрат наомадаанд.” Оре, онҳо роҳҳои худро баргузидаанд, ва ҷонашон аз зиштиҳои худ лаззат мебарад. “Ман низ гумроҳиҳои онҳоро ихтиёр хоҳам кард, ва он чиро ки аз он метарсанд, бар сари онҳо хоҳам овард; зеро ҳангоме ки Ман хондам, ҳеҷ кас ҷавоб надод; ҳангоме ки сухан гуфтам, онҳо нашуниданд; балки дар пеши чашмони Ман бадӣ карданд, ва он чиро баргузиданд, ки Ман аз он хушнуд набудам.” “Худо бар онҳо гумроҳии қавӣ хоҳад фиристод, то ки ба дурӯғ имон оваранд,” зеро “муҳаббати ростиро барои наҷот ёфтан напазируфтанд,” “балки аз ноинсофӣ лаззат бурданд.” Ишаъё 66:3, 4; 2 Таслӯникиён 2:11, 10, 12.</w:t>
      </w:r>
    </w:p>
    <w:p>
      <w:pPr>
        <w:pStyle w:val="ArticleScripture"/>
        <w:jc w:val="left"/>
      </w:pPr>
      <w:r>
        <w:rPr>
          <w:rFonts w:ascii="Times New Roman" w:hAnsi="Times New Roman" w:eastAsia="Times New Roman" w:cs="Times New Roman"/>
        </w:rPr>
        <w:t>«Устоди осмонӣ пурсид: “Кадом фиреби қавитаре метавонад ақлро гумроҳ созад, аз вонамуд кардани он ки шумо бар таҳкурсии дуруст бино мекунед ва Худо корҳои шуморо мепазирад, дар ҳоле ки дар асл шумо бисёр чизҳоро мувофиқи сиёсати дунявӣ анҷом медиҳед ва бар зидди Яҳува гуноҳ мекунед? Оҳ, ин фиреби бузург, ин гумроҳии дилфиреб аст, ки зеҳнҳоро тасарруф мекунад, вақте ки одамоне, ки як вақт ҳақиқатро шинохта буданд, шакли худотарсиро ба ҷойи рӯҳ ва қудрати он иштибоҳ мегиранд; вақте ки онҳо гумон мекунанд, ки сарватманданд ва аз молу мулк афзудаанд ва ба ҳеҷ чиз эҳтиёҷ надоранд, дар сурате ки дар воқеъ ба ҳама чиз муҳтоҷанд.”» Шаҳодатҳо, ҷилди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чилум</dc:title>
  <dc:subject>Павлус</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