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Шасту нӯҳ</w:t>
      </w:r>
    </w:p>
    <w:p>
      <w:pPr>
        <w:pStyle w:val="ArticleSubtitle"/>
        <w:jc w:val="left"/>
      </w:pPr>
      <w:r>
        <w:rPr>
          <w:rFonts w:ascii="Arial" w:hAnsi="Arial" w:eastAsia="Arial" w:cs="Arial"/>
        </w:rPr>
        <w:t>Фош сохтани давраи наслҳо: Чор макруҳоти адвентизм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Худо ҳаргиз тағйир намеёбад, ва бинобар ин адвентизм дар насли чоруми худ доварӣ карда мешавад.</w:t>
      </w:r>
    </w:p>
    <w:p>
      <w:pPr>
        <w:pStyle w:val="ArticleScripture"/>
        <w:jc w:val="left"/>
      </w:pPr>
      <w:r>
        <w:rPr>
          <w:rFonts w:ascii="Times New Roman" w:hAnsi="Times New Roman" w:eastAsia="Times New Roman" w:cs="Times New Roman"/>
        </w:rPr>
        <w:t>«Ва марди либоспӯши катонро, ки давотдони котибӣ бар паҳлуяш дошт, нидо кард; ва Худованд ба ӯ гуфт: Аз миёни шаҳр, аз миёни Ерусалим бигзар ва бар пешониҳои мардоне, ки барои ҳамаи зиштиҳое, ки дар миёни он ба ҷо оварда мешаванд, оҳу нола мекунанд ва фиғон мекашанд, аломате бигзор. Ва ба дигарон, дар гӯши ман, гуфт: Аз паси ӯ аз миёни шаҳр бигзаранд ва бизанед; чашматон шафқат накунад ва раҳм нанамоед: пирон ва ҷавонон, духтарон ва кӯдакон ва занонро тамоман бикушед; аммо ба ҳеҷ касе, ки бар ӯ аломат аст, наздик нашавед; ва аз муқаддасгоҳи Ман оғоз кунед. Он гоҳ онҳо аз пирони пеши хона оғоз карданд.»</w:t>
      </w:r>
    </w:p>
    <w:p>
      <w:pPr>
        <w:pStyle w:val="ArticleScripture"/>
        <w:jc w:val="left"/>
      </w:pPr>
      <w:r>
        <w:rPr>
          <w:rFonts w:ascii="Times New Roman" w:hAnsi="Times New Roman" w:eastAsia="Times New Roman" w:cs="Times New Roman"/>
        </w:rPr>
        <w:t>«Исои Масеҳ наздик аст, ки курсии марҳаматро дар муқаддасгоҳи осмонӣ тарк намояд, то либосҳои интиқомро бар тан кунад ва ғазаби Худро дар довариҳо бар онҳое бирезад, ки ба нуре, ки Худо ба онҳо ато кардааст, ҷавоб надодаанд. “Азбаски ҳукм бар амали шарирона ба зудӣ иҷро намегардад, бинобар ин дили банӣ-одам пурра ба овардани бадӣ моил мешавад”. Ба ҷойи он ки аз сабри Худованд ва таҳаммулпазирии тӯлонии Ӯ, ки нисбат ба онҳо зоҳир шудааст, нарм гарданд, онҳое ки аз Худо наметарсанд ва ҳақиқатро дӯст намедоранд, дилҳои худро дар роҳи шариронаи худ устувор месозанд. Аммо ҳатто барои таҳаммулпазирии Худо низ ҳудудҳо вуҷуд доранд, ва бисёриҳо аз ин марзҳо гузашта истодаанд. Онҳо аз ҳудуди файз берун рафтаанд, ва бинобар ин Худо бояд мудохила намояд ва шарафи Худро ҳимоя кунад.»</w:t>
      </w:r>
    </w:p>
    <w:p>
      <w:pPr>
        <w:pStyle w:val="ArticleScripture"/>
        <w:jc w:val="left"/>
      </w:pPr>
      <w:r>
        <w:rPr>
          <w:rFonts w:ascii="Times New Roman" w:hAnsi="Times New Roman" w:eastAsia="Times New Roman" w:cs="Times New Roman"/>
        </w:rPr>
        <w:t>Дар бораи амӯриён Худованд гуфта буд: «Дар насли чорум онҳо боз ба ин ҷо хоҳанд омад, зеро гуноҳи амӯриён ҳанӯз ба ҳадди комил нарасидааст». Гарчанде ки ин қавм ба сабаби бутпарастӣ ва фосидии худ ошкоро намоён буд, онҳо ҳанӯз косаи гуноҳи худро пур накарда буданд, ва Худо ҳукм намедод, ки онҳо комилан несту нобуд карда шаванд. Мардум мебоист қудрати илоҳиро ба таври равшан зуҳурёфта бубинанд, то ки барои онҳо ҳеҷ узре боқӣ намонад. Офаридгори раҳмдил мехост то насли чорум гуноҳи онҳоро таҳаммул кунад. Сипас, агар ҳеҷ тағйире ба сӯи беҳбудӣ дида намешуд, довариҳои Ӯ бар онҳо фуруд меомаданд.</w:t>
      </w:r>
    </w:p>
    <w:p>
      <w:pPr>
        <w:pStyle w:val="ArticleScripture"/>
        <w:jc w:val="left"/>
      </w:pPr>
      <w:r>
        <w:rPr>
          <w:rFonts w:ascii="Times New Roman" w:hAnsi="Times New Roman" w:eastAsia="Times New Roman" w:cs="Times New Roman"/>
        </w:rPr>
        <w:t>Бо дақиқии хатоношинос Зоти Беинтиҳо ҳанӯз ҳам бо ҳамаи халқҳо ҳисоб нигоҳ медорад. То даме ки марҳамати Ӯ бо даъватҳо ба тавба пешниҳод мешавад, ин ҳисоб боз хоҳад монд; аммо ҳангоме ки рақамҳо ба миқдоре мерасанд, ки Худо муқаррар кардааст, хизмати ғазаби Ӯ оғоз меёбад. Ҳисоб баста мешавад. Сабри илоҳӣ ба поён мерасад. Дигар ба фоидаи онҳо илтиҷои марҳамат нахоҳад буд.</w:t>
      </w:r>
    </w:p>
    <w:p>
      <w:pPr>
        <w:pStyle w:val="ArticleScripture"/>
        <w:jc w:val="left"/>
      </w:pPr>
      <w:r>
        <w:rPr>
          <w:rFonts w:ascii="Times New Roman" w:hAnsi="Times New Roman" w:eastAsia="Times New Roman" w:cs="Times New Roman"/>
        </w:rPr>
        <w:t>Пайғамбар, асрлар аро назар афканда, ин замон дар пеши рӯъёи ӯ муҷассам гардида буд. Миллатҳои ин аср баҳрабардорони марҳаматҳое шудаанд, ки монандашон пеш аз ин дида нашуда буд. Беҳтарин баракатҳои осмон ба онҳо ато гардидааст, аммо бар зидди онҳо такаббури афзоянда, тамаъҷӯӣ, бутпарастӣ, беэътиноӣ нисбат ба Худо ва носипосии паст навишта шудааст. Онҳо босуръат ҳисоби худро бо Худо ба анҷом мерасонанд.</w:t>
      </w:r>
    </w:p>
    <w:p>
      <w:pPr>
        <w:pStyle w:val="ArticleScripture"/>
        <w:jc w:val="left"/>
      </w:pPr>
      <w:r>
        <w:rPr>
          <w:rFonts w:ascii="Times New Roman" w:hAnsi="Times New Roman" w:eastAsia="Times New Roman" w:cs="Times New Roman"/>
        </w:rPr>
        <w:t>«Аммо он чи маро ба ларза меоварад, ҳамин аст, ки онҳое, ки аз бузургтарин нур ва имтиёзҳо баҳраманд будаанд, ба гуноҳи ҳукмрон олуда шудаанд. Зери таъсири ноодилони атрофи худ, бисёре, ҳатто аз миёни онҳое ки ба ҳақиқат иқрор доранд, сард гардидаанд ва онҳоро ҷараёни пурқуввати шарорат фурӯ мекашад. Тамасхури умумие, ки ба парҳезгории ҳақиқӣ ва муқаддасият равона мешавад, боиси он мегардад, ки онҳое, ки бо Худо робитаи наздик надоранд, эҳтироми худро нисбат ба қонуни Ӯ аз даст диҳанд. Агар онҳо аз нур пайравӣ мекарданд ва аз таҳти дил ба ҳақиқат итоат менамуданд, ин қонуни муқаддас ҳангоми чунин хор шумурда шудан ва канор гузошта шуданаш барои онҳо боз ҳам гаронбаҳотар менамуд. Ҳар қадар беэҳтиромӣ нисбат ба қонуни Худо ошкортар гардад, ҳамон қадар хатти ҷудокунанда миёни риоякунандагони он ва ҷаҳон равшантар мешавад. Муҳаббат ба аҳкоми илоҳӣ дар як гурӯҳ ба ҳамон андоза меафзояд, ки нафрат нисбат ба онҳо дар гурӯҳи дигар зиёд мегардад.»</w:t>
      </w:r>
    </w:p>
    <w:p>
      <w:pPr>
        <w:pStyle w:val="ArticleScripture"/>
        <w:jc w:val="left"/>
      </w:pPr>
      <w:r>
        <w:rPr>
          <w:rFonts w:ascii="Times New Roman" w:hAnsi="Times New Roman" w:eastAsia="Times New Roman" w:cs="Times New Roman"/>
        </w:rPr>
        <w:t>«Буҳрон ба зудӣ наздик мешавад. Рақамҳое, ки бо суръат афзоиш меёбанд, нишон медиҳанд, ки вақти боздиди Худо қариб фаро расидааст. Ҳарчанд Ӯ ба ҷазо додан нохуш дорад, бо вуҷуди ин ҷазо хоҳад дод, ва он ҳам ба зудӣ. Онҳое ки дар нур роҳ мераванд, аломатҳои хатари наздикшавандаро хоҳанд дид; аммо онҳо набояд дар хомӯшӣ, бо бепарвоёна интизори харобӣ нишинанд ва худро бо ин андеша тасаллӣ диҳанд, ки Худо қавми Худро дар рӯзи боздид паноҳ хоҳад дод. Ҳаргиз чунин нест. Онҳо бояд дарк кунанд, ки вазифаи онҳост бо ҷидду ҷаҳди тамом барои наҷоти дигарон меҳнат кунанд ва бо имони қавӣ ба Худо барои ёрӣ назар дӯзанд. “Дуои самимонаву пурҳарорати марди одил таъсири бисёр дорад.”»</w:t>
      </w:r>
    </w:p>
    <w:p>
      <w:pPr>
        <w:pStyle w:val="ArticleScripture"/>
        <w:jc w:val="left"/>
      </w:pPr>
      <w:r>
        <w:rPr>
          <w:rFonts w:ascii="Times New Roman" w:hAnsi="Times New Roman" w:eastAsia="Times New Roman" w:cs="Times New Roman"/>
        </w:rPr>
        <w:t>«Хамиртуруши парҳезгорӣ тамоман қуввати худро аз даст надодааст. Дар замоне ки хатари калисо ва рӯҳафтодагии он ба дараҷаи аз ҳама бузург мерасад, он гурӯҳи хурде, ки дар нур истодаанд, барои зишткориҳое ки дар замин ба амал оварда мешаванд, оҳу нола хоҳанд кард. Вале, махсусан, дуоҳои онҳо ба хотири калисо боло хоҳад рафт, зеро аъзои он ба тариқи ҷаҳон рафтор мекунанд. »</w:t>
      </w:r>
    </w:p>
    <w:p>
      <w:pPr>
        <w:pStyle w:val="ArticleScripture"/>
        <w:jc w:val="left"/>
      </w:pPr>
      <w:r>
        <w:rPr>
          <w:rFonts w:ascii="Times New Roman" w:hAnsi="Times New Roman" w:eastAsia="Times New Roman" w:cs="Times New Roman"/>
        </w:rPr>
        <w:t>«Дуоҳои ҷиддии ин андак мӯъминони вафодор беҳуда нахоҳанд буд. Ҳангоме ки Худованд ҳамчун интиқомгиранда ба майдон меояд, Ӯ ҳамчунин ҳамчун муҳофизи ҳамаи онҳое хоҳад омад, ки имонро дар покии он ҳифз кардаанд ва худро аз олам доғношуда нигоҳ доштаанд. Маҳз дар ҳамин вақт аст, ки Худо ваъда додааст баргузидагони Худро, ки шабу рӯз сӯи Ӯ фарёд мекунанд, интиқом хоҳад дод, ҳарчанд ки бо онҳо дарозмуддат сабр менамояд.»</w:t>
      </w:r>
    </w:p>
    <w:p>
      <w:pPr>
        <w:pStyle w:val="ArticleScripture"/>
        <w:jc w:val="left"/>
      </w:pPr>
      <w:r>
        <w:rPr>
          <w:rFonts w:ascii="Times New Roman" w:hAnsi="Times New Roman" w:eastAsia="Times New Roman" w:cs="Times New Roman"/>
        </w:rPr>
        <w:t>«Фармон чунин аст: “Аз миёни шаҳр, аз миёни Ерусалим бигузар ва бар пешониҳои он мардоне, ки барои ҳамаи зиштиҳое, ки дар миёни он ба ҷо оварда мешаванд, оҳу нола мекунанд ва фарёд мекашанд, нишоне бигузор.” Ин оҳу нолакунандагон ва фарёдзанон суханони ҳаётро пеш мегузоштанд; онҳо мазаммат мекарданд, насиҳат менамуданд ва илтиҷо мекарданд. Баъзеҳо, ки Худоро беҳурмат карда буданд, тавба намуданд ва дилҳои худро пеши Ӯ фурӯтан сохтанд. Аммо ҷалоли Худованд аз Исроил рафта буд; гарчанде ки бисёре ҳанӯз ҳам ба шаклҳои диндорӣ идома медоданд, қудрат ва ҳузури Ӯ намерасид.» Testimonies, volume 5, 207–210.</w:t>
      </w:r>
    </w:p>
    <w:p>
      <w:pPr>
        <w:pStyle w:val="ArticleBody"/>
        <w:jc w:val="left"/>
      </w:pPr>
      <w:r>
        <w:rPr>
          <w:rFonts w:ascii="Times New Roman" w:hAnsi="Times New Roman" w:eastAsia="Times New Roman" w:cs="Times New Roman"/>
        </w:rPr>
        <w:t>Тасвири доварии Худо, ки Хоҳар Уайт дар ин порча ба он ишора мекунад, довариест, ки бар шаҳри Ерусалим оварда шуд, ки дар рӯзҳои охир Калисои Адвентистони рӯзи ҳафтум аст. Ин доварӣ дар қонуни якшанбе ба анҷом мерасад, зеро маҳз дар он ҷо мӯҳри Худо ва нишони ҳайвон гузошта мешаванд. Боби ҳаштуми Ҳизқиёл чор зиштии пайдарпай афзояндаро муайян мекунад. Ояти аввал таъкид менамояд, ки рӯъё бояд андаке пеш аз баста шудани муҳлати озмоиш фаҳмида шавад, бо муайян кардани рӯзи панҷуми моҳи шашуми соли шашум.</w:t>
      </w:r>
    </w:p>
    <w:p>
      <w:pPr>
        <w:pStyle w:val="ArticleBody"/>
        <w:jc w:val="left"/>
      </w:pPr>
      <w:r>
        <w:rPr>
          <w:rFonts w:ascii="Times New Roman" w:hAnsi="Times New Roman" w:eastAsia="Times New Roman" w:cs="Times New Roman"/>
        </w:rPr>
        <w:t>Ҳизқиёл эҳтиёҷ надошт, ки он нуқтаи таърихии истинодро дохил намояд. Ӯ метавонист танҳо чунин нависад: «Ва воқеъ шуд, ҳангоме ки ман дар хонаи худ нишаста будам, ва пирони Яҳудо назди ман нишаста буданд, ки дасти Худованд Худо бар ман дар он ҷо фурӯд омад». Ин далел, ки ӯ истинодро ба рӯзе пеш аз «666» дохил кардааст, барои толибони нубувват як истиноди пешгӯёна мебошад. Ин истинод барои касоне аст, ки бар шумораи номи ҳайвон ғалаба доранд ва «666»-ро мешиносанд; он ҷузъе аз Ваҳйи Исои Масеҳ аст, ки андаке пеш аз баста шудани муҳлати имтиёз кушода мегардад. Онҳо инро медонанд, зеро онҳо қавми Худо мебошанд, ки мувофиқи сухани Петрус, «дар замонҳои гузашта қавми Худо набуданд».</w:t>
      </w:r>
    </w:p>
    <w:p>
      <w:pPr>
        <w:pStyle w:val="ArticleBody"/>
        <w:jc w:val="left"/>
      </w:pPr>
      <w:r>
        <w:rPr>
          <w:rFonts w:ascii="Times New Roman" w:hAnsi="Times New Roman" w:eastAsia="Times New Roman" w:cs="Times New Roman"/>
        </w:rPr>
        <w:t>Дар 1 Петрус боби дуюм онҳое ки ҳоло қавми Худо ҳастанд, «чашидаанд, ки Худованд меҳрубон аст». Онҳо касоне мебошанд, ки ба маънои нубувватӣ каломи Худоро «хӯрдаанд», бар хилофи онҳое ки аз хӯрдани каломи Худо сар печиданд. Ҳамаи анбиё дар бораи айёми охир сухан мегӯянд, ва дар Юҳанно боби шашум Исо паём дод, ки шогирдони Ӯ бояд гӯшти Ӯро бихӯранд ва хуни Ӯро бинӯшанд. Дар он боб шогирдоне ки аз хӯрдани гӯшти Ӯ ва нӯшидани хуни Ӯ сарпечӣ карданд, ин корро дар ояти шасту шашум анҷом доданд.</w:t>
      </w:r>
    </w:p>
    <w:p>
      <w:pPr>
        <w:pStyle w:val="ArticleScripture"/>
        <w:jc w:val="left"/>
      </w:pPr>
      <w:r>
        <w:rPr>
          <w:rFonts w:ascii="Times New Roman" w:hAnsi="Times New Roman" w:eastAsia="Times New Roman" w:cs="Times New Roman"/>
        </w:rPr>
        <w:t>Аз ҳамон вақт бисёре аз шогирдонаш бозгаштанд ва дигар бо Ӯ роҳ намерафтанд. Юҳанно 6:66.</w:t>
      </w:r>
    </w:p>
    <w:p>
      <w:pPr>
        <w:pStyle w:val="ArticleBody"/>
        <w:jc w:val="left"/>
      </w:pPr>
      <w:r>
        <w:rPr>
          <w:rFonts w:ascii="Times New Roman" w:hAnsi="Times New Roman" w:eastAsia="Times New Roman" w:cs="Times New Roman"/>
        </w:rPr>
        <w:t>Оқилоне, ки дар айёми охир ҷисми Масеҳро мехӯранд ва хуни Ӯро менӯшанд, дарк мекунанд, ки Масеҳ, ҳамчун Палмонӣ, Шуморакунандаи Аҷоиб аст, ва онҳо ҳангоме ки имзои Ӯ пешниҳод мегардад, онро мешиносанд. Рақами «665», ки дар ояти ифтитоҳии Ҳизқиёл ҳашт омадааст, барои ҳар кӣ бихоҳад бубинад, он ҷо ҳаст, то нишон диҳад, ки он ақаллан ду нуқтаи муҳими нубувватиро муайян месозад. Нахуст ин ки паём бояд ҳамчун фарогири давраи замоне пеш аз қонуни якшанбе фаҳмида шавад. Дувум ин ки рақами «666» дар яке аз танҳо ду ояти китоби Ваҳй ҷой дорад, ки бо муайян сохтани он ки «оқилон» дар айёми охир мефаҳманд, тавсиф шудааст.</w:t>
      </w:r>
    </w:p>
    <w:p>
      <w:pPr>
        <w:pStyle w:val="ArticleScripture"/>
        <w:jc w:val="left"/>
      </w:pPr>
      <w:r>
        <w:rPr>
          <w:rFonts w:ascii="Times New Roman" w:hAnsi="Times New Roman" w:eastAsia="Times New Roman" w:cs="Times New Roman"/>
        </w:rPr>
        <w:t>Дар ин ҷо ҳикмат аст. Ҳар кӣ фаҳм дорад, шумораи ҳайвонро ҳисоб кунад; зеро он шумораи одам аст; ва шумораи вай шашсад шасту шаш аст. Ваҳй 13:18.</w:t>
      </w:r>
    </w:p>
    <w:p>
      <w:pPr>
        <w:pStyle w:val="ArticleBody"/>
        <w:jc w:val="left"/>
      </w:pPr>
      <w:r>
        <w:rPr>
          <w:rFonts w:ascii="Times New Roman" w:hAnsi="Times New Roman" w:eastAsia="Times New Roman" w:cs="Times New Roman"/>
        </w:rPr>
        <w:t>«Хирадмандон», ки афзоиши донишро дар айёми охир, ҳангоме ки Ваҳйи Исои Масеҳ кушода мегардад, мефаҳманд, хоҳанд донист, ки «666» рамзи муҳими нубувватист, зеро бар он шумора ғолиб омадаанд. Аз ин рӯ, Ҳизқиёл дар боби ҳашт исёни рӯ ба афзоишро муаррифӣ мекунад, ки бо чор макрӯҳоти пайдарпай афзоянда ифода ёфтааст. Охирин, аблаҳонро ҳамчун саҷдакунандагони офтоб муаррифӣ менамояд ва ба ҳамин тарз доварии Ерусалимро (Адвентизм) дар айёми охир нишонгузорӣ мекунад. Он доварӣ дар насли чорум ба амал меояд. Он чор макрӯҳот рамзҳои чор насли Адвентизми Лодиқия мебошанд.</w:t>
      </w:r>
    </w:p>
    <w:p>
      <w:pPr>
        <w:pStyle w:val="ArticleBody"/>
        <w:jc w:val="left"/>
      </w:pPr>
      <w:r>
        <w:rPr>
          <w:rFonts w:ascii="Times New Roman" w:hAnsi="Times New Roman" w:eastAsia="Times New Roman" w:cs="Times New Roman"/>
        </w:rPr>
        <w:t>Насли аввал дар соли 1863 оғоз ёфт, бо исёни зидди қасами «ҳафт бор»-и Мусо. Бисту панҷ сол баъд, исёни соли 1888 зоҳир гардид. Сию як сол баъд, исёни соли 1919 рӯй дод, ки онро китоби У. У. Прескотт, «Таълимоти Масеҳ», намояндагӣ мекард. Сию ҳашт сол пас аз он, дар соли 1957, исёне, ки онро китоби «Саволҳо оид ба Таълимот» намояндагӣ мекард, ба вуқӯъ пайваст. Акнун мо ба нишон додани он оғоз хоҳем кард, ки чаро ин чор аломати роҳ бо чор макруҳоти боби ҳаштуми Ҳизқиёл мувофиқат доранд.</w:t>
      </w:r>
    </w:p>
    <w:p>
      <w:pPr>
        <w:pStyle w:val="ArticleBody"/>
        <w:jc w:val="left"/>
      </w:pPr>
      <w:r>
        <w:rPr>
          <w:rFonts w:ascii="Times New Roman" w:hAnsi="Times New Roman" w:eastAsia="Times New Roman" w:cs="Times New Roman"/>
        </w:rPr>
        <w:t>Дар соли 1863, адвентизми Лаодикия барои иваз намудани он ду ҷадвале, ки иҷрои амри боби дуюми Ҳабаққуқ буданд — «рӯъёро бинавис ва онро бар лавҳаҳо равшан соз» — ҷадвали наверо ҷорӣ намуд. Ҷадвали соли 1863 «ҳафт замон»-ро аз тасвири нубувватӣ хориҷ кард, дар ҳоле ки он дар он ду ҷадвали муқаддас ҳамроҳ бо 1260, 1290 ва 1335 ҷой дошт. Дар Ҳабаққуқ амр муайян мекард, ки лавҳаҳо (ба шакли ҷамъ) ба гунае нашр хоҳанд шуд, ки «то хонанда онро давида бихонад». Ҷадвали соли 1863 то он ҳад аз мақсад дур буд, ки барои ҳамроҳӣ бо он варақаи тавзеҳотӣ лозим омад. Ба ҷадвали соли 1863 назар андохта, бе варақаи иловагӣ «давидан» имконнопазир буд.</w:t>
      </w:r>
    </w:p>
    <w:p>
      <w:pPr>
        <w:pStyle w:val="ArticleScripture"/>
        <w:jc w:val="left"/>
      </w:pPr>
      <w:r>
        <w:rPr>
          <w:rFonts w:ascii="Times New Roman" w:hAnsi="Times New Roman" w:eastAsia="Times New Roman" w:cs="Times New Roman"/>
        </w:rPr>
        <w:t>Ва Худованд маро ҷавоб дода, гуфт: «Рӯъёро бинавис ва онро бар лавҳаҳо равшан баён намо, то ҳар кӣ онро бихонад, битавонад бишитобад». Ҳабаққуқ 2:2.</w:t>
      </w:r>
    </w:p>
    <w:p>
      <w:pPr>
        <w:pStyle w:val="ArticleBody"/>
        <w:jc w:val="left"/>
      </w:pPr>
      <w:r>
        <w:rPr>
          <w:rFonts w:ascii="Times New Roman" w:hAnsi="Times New Roman" w:eastAsia="Times New Roman" w:cs="Times New Roman"/>
        </w:rPr>
        <w:t>Чарти соли 1863 сохтакорона тарҳрезӣ шуда буд, то ҳақиқатро пӯшонад, ҳамон тавре ки Уилям Миллер дар хоби худ дид. Он ду чарти муқаддас рамзи аҳде буданд, ки Масеҳ бо қавме баст, ки тоза мавқеи шохи ҳақиқии протестантии ҳайвони заминро ишғол карда буданд. Он ду чарт рамзи муносибати аҳдӣ миёни миллериён ва Масеҳ буданд, Ӯ, ки дар соли 1844 ногаҳон ба маъбади Худ омад; ва ҳангоме ки Ӯ омад, ҳамчун Пайки Аҳд омад. Исроили қадим Исроили замонавиро тасвир мекунад, ва ҳангоме ки Масеҳ Исроили қадимро аз ғуломии Миср берун овард, Ӯ замонеро намуна сохт, ки мебоист Исроили замонавиро аз бандагии ҳазору дусаду шаст соли ҳукмронии папагӣ берун оварад. Хоҳар Уайт такроран ин ду таърихро ҳамчун таърихҳои мувозӣ таъйид мекунад.</w:t>
      </w:r>
    </w:p>
    <w:p>
      <w:pPr>
        <w:pStyle w:val="ArticleScripture"/>
        <w:jc w:val="left"/>
      </w:pPr>
      <w:r>
        <w:rPr>
          <w:rFonts w:ascii="Times New Roman" w:hAnsi="Times New Roman" w:eastAsia="Times New Roman" w:cs="Times New Roman"/>
        </w:rPr>
        <w:t>«Бар мо нури ҷамъшудаи асрҳои гузашта медурахшад. Сабти фаромӯшкории Исроил барои равшан гардидани мо ҳифз шудааст. Дар ин аср Худо дасти Худро дароз кардааст, то барои Худ халқе аз ҳар миллат, қабила ва забон ҷамъ оварад. Дар ҳаракати омадани Масеҳ Ӯ барои мероси Худ амал кардааст, ҳамчунон ки барои исроилиён амал кард, ҳангоме ки онҳоро аз Миср берун мебурд. Дар ноумедии бузурги соли 1844 имони қавми Ӯ озмуда шуд, чунон ки имони иброниён назди Баҳри Сурх озмуда гардида буд». Testimonies, volume 8, 115, 116.</w:t>
      </w:r>
    </w:p>
    <w:p>
      <w:pPr>
        <w:pStyle w:val="ArticleBody"/>
        <w:jc w:val="left"/>
      </w:pPr>
      <w:r>
        <w:rPr>
          <w:rFonts w:ascii="Times New Roman" w:hAnsi="Times New Roman" w:eastAsia="Times New Roman" w:cs="Times New Roman"/>
        </w:rPr>
        <w:t>Вақте ки Худованд бо Исроили қадим аҳд баст, Ӯ барои ифодаи муносибати аҳдӣ ду лавҳаро дод. Вақте ки Худованд бо Исроили муосир аҳд баст, Ӯ барои ифодаи муносибати аҳдӣ ду лавҳаро дод. Ду лавҳаи Даҳ Аҳком намунаи он ду лавҳаи Ҳабаққуқ мебошанд. Ӯ он ду лавҳаро ба онҳо андаке пас аз убури Баҳри Сурх дод, ки хоҳар Уайт онро бо ноумедии бузурги соли 1844 мутобиқ медонад. Андаке пас аз соли 1844, аз нигоҳи таърихи нубувватӣ, Худованд лавҳаи дуюмро ба вуҷуд овард. Исроили қадим амонатдори шариати Худо гардонида шуд, ва Исроили муосир на танҳо амонатдори шариати Худо, балки ҳамчунин амонатдори он ҳақоиқи бузурги нубувватӣ гардонида шуд.</w:t>
      </w:r>
    </w:p>
    <w:p>
      <w:pPr>
        <w:pStyle w:val="ArticleScripture"/>
        <w:jc w:val="left"/>
      </w:pPr>
      <w:r>
        <w:rPr>
          <w:rFonts w:ascii="Times New Roman" w:hAnsi="Times New Roman" w:eastAsia="Times New Roman" w:cs="Times New Roman"/>
        </w:rPr>
        <w:t>«Худо калисои Худро дар ин рӯзҳо, ҳамон тавре ки Исроили қадимро даъват карда буд, даъват намудааст, то ҳамчун нур дар замин биистад. Бо табари пурқудрати ҳақиқат, яъне паёмҳои фариштаи якум, дуюм ва сеюм, Ӯ онҳоро аз калисоҳо ва аз ҷаҳон ҷудо кардааст, то онҳоро ба наздикии муқаддаси Худаш биёрад. Ӯ онҳоро амонатдорони шариати Худ гардонидааст ва ҳақоиқи бузурги нубувватро барои ин замон ба онҳо супурдааст. Монанди ваҳйҳои муқаддасе ки ба Исроили қадим супурда шуда буданд, инҳо низ амонати муқаддасе мебошанд, ки бояд ба ҷаҳон расонида шаванд». Testimonies, volume 5, 455.</w:t>
      </w:r>
    </w:p>
    <w:p>
      <w:pPr>
        <w:pStyle w:val="ArticleBody"/>
        <w:jc w:val="left"/>
      </w:pPr>
      <w:r>
        <w:rPr>
          <w:rFonts w:ascii="Times New Roman" w:hAnsi="Times New Roman" w:eastAsia="Times New Roman" w:cs="Times New Roman"/>
        </w:rPr>
        <w:t>Ду аҳкоми аввал нафрати Худоро нисбат ба бутпарастӣ муайян мекунанд, ва дар ҳамон ду аҳкоми аввал Ӯ муайян месозад, ки доварӣ то насли сеюм ва чорум иҷро карда мешавад, зеро Ӯ муайян месозад, ки Худои ғайюр аст.</w:t>
      </w:r>
    </w:p>
    <w:p>
      <w:pPr>
        <w:pStyle w:val="ArticleScripture"/>
        <w:jc w:val="left"/>
      </w:pPr>
      <w:r>
        <w:rPr>
          <w:rFonts w:ascii="Times New Roman" w:hAnsi="Times New Roman" w:eastAsia="Times New Roman" w:cs="Times New Roman"/>
        </w:rPr>
        <w:t>«Шариат дар он вақт на танҳо ба хотири манфиати ибриён эълон карда нашуд. Худо онҳоро бо он сарфароз гардонд, ки нигаҳбонон ва посдорони шариати Ӯ бошанд, вале он бояд ҳамчун амонати муқаддас барои тамоми ҷаҳон нигоҳ дошта мешуд. Аҳкоми Даҳгона ба тамоми башар мутобиқанд, ва онҳо барои таълим ва идораи ҳамагон дода шудаанд. Даҳ аҳкоми кӯтоҳ, фарогир ва соҳибиқтидор, вазифаи инсонро нисбат ба Худо ва нисбат ба ҳамнавъи худ дарбар мегиранд; ва ҳамаи онҳо бар он усули бузурги бунёдии муҳаббат асос ёфтаанд. “Худованд Худои худро бо тамоми дили худ, ва бо тамоми ҷони худ, ва бо тамоми қуввати худ, ва бо тамоми ақли худ дӯст бидор; ва ҳамсояи худро мисли худат.” Луқо 10:27. Ҳамчунин нигаред ба Такрори Шариат 6:4, 5; Ибодат 19:18. Дар Даҳ Аҳком ин усулҳо ба таври муфассал баён гардида, ба ҳолат ва шароити инсон татбиқпазир гардонида шудаанд.</w:t>
      </w:r>
    </w:p>
    <w:p>
      <w:pPr>
        <w:pStyle w:val="ArticleScripture"/>
        <w:jc w:val="left"/>
      </w:pPr>
      <w:r>
        <w:rPr>
          <w:rFonts w:ascii="Times New Roman" w:hAnsi="Times New Roman" w:eastAsia="Times New Roman" w:cs="Times New Roman"/>
        </w:rPr>
        <w:t>«Ту набояд ғайр аз Ман худоёни дигаре дошта бошӣ».</w:t>
      </w:r>
    </w:p>
    <w:p>
      <w:pPr>
        <w:pStyle w:val="ArticleScripture"/>
        <w:jc w:val="left"/>
      </w:pPr>
      <w:r>
        <w:rPr>
          <w:rFonts w:ascii="Times New Roman" w:hAnsi="Times New Roman" w:eastAsia="Times New Roman" w:cs="Times New Roman"/>
        </w:rPr>
        <w:t>«Яҳува, абадӣ, худмавҷуд, ғайримахлуқ, ки Худ Манбаи ҳамаи чизҳо ва Нигоҳдорандаи онҳост, танҳо Ӯ сазовори эҳтироми олӣ ва ибодат мебошад. Ба инсон манъ карда шудааст, ки ба ҳеҷ объекти дигар ҷойи аввалро дар муҳаббати худ ё дар хизмати худ бидиҳад. Ҳар чизеро, ки мо гиромӣ медорем ва он майл дорад муҳаббати моро ба Худо кам созад ё ба хидмате, ки ба Ӯ воҷиб аст, халал расонад, ҳамонро мо барои худ худо месозем.»</w:t>
      </w:r>
    </w:p>
    <w:p>
      <w:pPr>
        <w:pStyle w:val="ArticleScripture"/>
        <w:jc w:val="left"/>
      </w:pPr>
      <w:r>
        <w:rPr>
          <w:rFonts w:ascii="Times New Roman" w:hAnsi="Times New Roman" w:eastAsia="Times New Roman" w:cs="Times New Roman"/>
        </w:rPr>
        <w:t>«Ту барои худ ҳеҷ санами тарошида, ва ҳеҷ сурате аз он чи дар осмони боло, ё дар замини поён, ё дар обҳои зери замин аст, масоз; ба онҳо саҷда накун ва онҳоро ибодат манамо».</w:t>
      </w:r>
    </w:p>
    <w:p>
      <w:pPr>
        <w:pStyle w:val="ArticleScripture"/>
        <w:jc w:val="left"/>
      </w:pPr>
      <w:r>
        <w:rPr>
          <w:rFonts w:ascii="Times New Roman" w:hAnsi="Times New Roman" w:eastAsia="Times New Roman" w:cs="Times New Roman"/>
        </w:rPr>
        <w:t>«Фармони дуюм ибодати Худои ҳақиқиро ба воситаи тасвирҳо ё монандиҳо манъ мекунад. Бисёр халқҳои бутпараст даъво мекарданд, ки тасвирҳои онҳо танҳо суратҳо ё рамзҳоеанд, ки ба воситаи онҳо Илоҳият парастиш карда мешавад, аммо Худо чунин ибодатро гуноҳ эълон кардааст. Кӯшиши ба воситаи ашёи моддӣ муаррифӣ кардани Зоти Азалиро тасаввури инсонро дар бораи Худо паст мегардонад. Зеҳн, ки аз камоли беинтиҳои Яҳува рӯй мегардонад, ба ҷои Офаридгор ба махлуқ ҷалб хоҳад шуд. Ва ҳар қадар ки тасаввуроти ӯ дар бораи Худо паст гардад, ҳамон қадар инсон хор хоҳад шуд.»</w:t>
      </w:r>
    </w:p>
    <w:p>
      <w:pPr>
        <w:pStyle w:val="ArticleScripture"/>
        <w:jc w:val="left"/>
      </w:pPr>
      <w:r>
        <w:rPr>
          <w:rFonts w:ascii="Times New Roman" w:hAnsi="Times New Roman" w:eastAsia="Times New Roman" w:cs="Times New Roman"/>
        </w:rPr>
        <w:t>«“Ман Худованд Худои ту, Худои ғайратмандам.” Муносибати наздик ва муқаддаси Худо бо қавми Ӯ зери тимсоли никоҳ тасвир шудааст. Азбаски бутпарастӣ зинои рӯҳонист, норизоии Худо аз он ба дурустӣ ғайрат номида мешавад». Падриархҳо ва Анбиё, 305, 306.</w:t>
      </w:r>
    </w:p>
    <w:p>
      <w:pPr>
        <w:pStyle w:val="ArticleBody"/>
        <w:jc w:val="left"/>
      </w:pPr>
      <w:r>
        <w:rPr>
          <w:rFonts w:ascii="Times New Roman" w:hAnsi="Times New Roman" w:eastAsia="Times New Roman" w:cs="Times New Roman"/>
        </w:rPr>
        <w:t>Ғайрати Худо махсусан бар зидди бутпарастӣ зоҳир мегардад, ва тасодуфӣ нест, ки нахустин зиштӣ дар боби ҳаштуми Ҳизқиёл «сурати ғайрат» аст.</w:t>
      </w:r>
    </w:p>
    <w:p>
      <w:pPr>
        <w:pStyle w:val="ArticleScripture"/>
        <w:jc w:val="left"/>
      </w:pPr>
      <w:r>
        <w:rPr>
          <w:rFonts w:ascii="Times New Roman" w:hAnsi="Times New Roman" w:eastAsia="Times New Roman" w:cs="Times New Roman"/>
        </w:rPr>
        <w:t>Ва дар соли шашум, дар моҳи шашум, дар рӯзи панҷуми моҳ, чунин воқеъ шуд, ки ҳангоме ки ман дар хонаи худ нишаста будам, ва пирони Яҳудо пеши ман нишаста буданд, дасти Худованд Худо дар он ҷо бар ман фуруд омад. Ва ман нигаристам, ва инак, шабоҳате буд мисли намуди оташ: аз намуди камараш то поён — оташ; ва аз камараш то боло — мисли намуди дурахш, монанди ранги каҳрабо. Ва ӯ сурати дасте дароз кард, ва маро аз як тори мӯи сарам гирифт; ва рӯҳ маро дар миёни замин ва осмон бардошт, ва дар рӯъёҳои Худо маро ба Ерусалим овард, назди дарвозаи дарунии рӯ ба шимол, ки дар он ҷо ҷойгоҳи бути рашк буд, ки рашкро бармеангехт. Ва инак, ҷалоли Худои Исроил дар он ҷо буд, мувофиқи рӯъёе ки ман дар саҳро дида будам. Ва ӯ ба ман гуфт: «Эй писари одам, акнун чашмони худро ба сӯи шимол бардор». Пас ман чашмонамро ба сӯи шимол бардоштам, ва инак, ба ҷониби шимол, назди дарвозаи қурбонгоҳ, ин бути рашк дар даромадгоҳ буд. Ҳизқиёл 8:1–5.</w:t>
      </w:r>
    </w:p>
    <w:p>
      <w:pPr>
        <w:pStyle w:val="ArticleBody"/>
        <w:jc w:val="left"/>
      </w:pPr>
      <w:r>
        <w:rPr>
          <w:rFonts w:ascii="Times New Roman" w:hAnsi="Times New Roman" w:eastAsia="Times New Roman" w:cs="Times New Roman"/>
        </w:rPr>
        <w:t>Тасвири рашк нахустини чаҳор макрӯҳияти рӯ ба афзоиш аст, ки ба Ҳизқиёл нишон дода мешавад. Тасвири рашк оғози нахустин аз чаҳор насли исёни рӯ ба афзоишро дар Адвентизм ифода мекунад. Насли аввал дар соли 1863 оғоз ёфт.</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«Ҳар яке аз анбиёи қадим барои замони худ камтар сухан гуфта, бештар барои замони мо сухан рондааст, то ки нубуввати онҳо барои мо эътибор ва қувват дошта бошад. “Ҳамаи ин воқеаҳо ба онҳо ҳамчун намунаҳо рӯй дод; ва барои панду насиҳати мо навишта шудаанд, ки ба сари мо поёни асрҳо расидааст.” 1 Қӯринтиён 10:11. “На ба худашон, балки ба мо хизмат мекарданд дар он чизҳое ки ҳоло ба шумо аз ҷониби онҳое ки бо Рӯҳулқудси аз осмон фиристодашуда ба шумо Инҷилро мавъиза кардаанд, эълон шудааст; чизҳое ки фариштагон орзу доранд ба онҳо назар андозанд.” 1 Петрус 1:12....»</w:t>
      </w:r>
    </w:p>
    <w:p>
      <w:pPr>
        <w:pStyle w:val="ArticleScripture"/>
        <w:jc w:val="left"/>
      </w:pPr>
      <w:r>
        <w:rPr>
          <w:rFonts w:ascii="Times New Roman" w:hAnsi="Times New Roman" w:eastAsia="Times New Roman" w:cs="Times New Roman"/>
        </w:rPr>
        <w:t>«Китоби Муқаддас ганҷинаҳои худро барои ин насли охирин гирд оварда, якҷо нигоҳ доштааст. Ҳамаи воқеаҳои бузург ва муомилоти ҷиддии таърихи Аҳди Қадим дар ин рӯзҳои охир дар калисо такрор шудаанд ва такрор мешаванд».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Шасту нӯҳ</dc:title>
  <dc:subject>Фош сохтани давраи наслҳо: Чор макруҳоти адвентизм</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