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наваду як</w:t>
      </w:r>
    </w:p>
    <w:p>
      <w:pPr>
        <w:pStyle w:val="ArticleSubtitle"/>
        <w:jc w:val="left"/>
      </w:pPr>
      <w:r>
        <w:rPr>
          <w:rFonts w:ascii="Arial" w:hAnsi="Arial" w:eastAsia="Arial" w:cs="Arial"/>
        </w:rPr>
        <w:t>Фошсозии Дарёи Нубувватӣ: Сайре дар Пайвандҳои Байни Ҳаракатҳои Рӯъёҳои Дониёл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Донише, ки дар ҳаракати фариштаи аввал бозкушоӣ гардид, бо рӯъёи дарёи Улай дар китоби Дониёл ифода ёфтааст. Он рӯъё бобҳои ҳафтум, ҳаштум ва нӯҳуми Дониёлро ифода мекунад, ва донише, ки дар ҳаракати фариштаи сеюм бозкушоӣ гардид, бо рӯъёи дарёи Ҳиддекел ифода ёфтааст, ки он бобҳои даҳум, ёздаҳум ва дувоздаҳуми Дониёлро ифода мекунад. Пайвандҳо миёни ин ду ҳаракат фаровонанд. Ин ду ҳаракат бо яксаду бисту шаш сол — аз исёни соли 1863 то замони поён дар соли 1989 — ба ҳам пайвастаанд.</w:t>
      </w:r>
    </w:p>
    <w:p>
      <w:pPr>
        <w:pStyle w:val="ArticleBody"/>
        <w:jc w:val="left"/>
      </w:pPr>
      <w:r>
        <w:rPr>
          <w:rFonts w:ascii="Times New Roman" w:hAnsi="Times New Roman" w:eastAsia="Times New Roman" w:cs="Times New Roman"/>
        </w:rPr>
        <w:t>Ҳар ду вақти интиҳо, дар ҳар як ҳаракат, бо «ҳафт вақт»-и Ибодот 26 муайян шудаанд. Бутпарастӣ ва сипас папагарӣ то вақти интиҳо дар соли 1798 муқаддасгоҳ ва лашкарро поймол карда буданд. Аз исёни соли 1863 то соли 1989 поймолшавии рӯҳонӣ ба амал омада буд, чунон ки онро чор макруҳоти боби ҳаштуми Ҳизқиёл ифода менамояд.</w:t>
      </w:r>
    </w:p>
    <w:p>
      <w:pPr>
        <w:pStyle w:val="ArticleBody"/>
        <w:jc w:val="left"/>
      </w:pPr>
      <w:r>
        <w:rPr>
          <w:rFonts w:ascii="Times New Roman" w:hAnsi="Times New Roman" w:eastAsia="Times New Roman" w:cs="Times New Roman"/>
        </w:rPr>
        <w:t>Чилу шаш сол аз анҷоми нахустин хашм то анҷоми охирин хашм дар соли 1844, ки дар он Масеҳ маъбади рӯҳониеро барпо намуда буд, ки Ӯ ногаҳон ба он дар 22 октябри 1844 ворид шуд, ба вақти охир дар соли 1989 то қонуни якшанбеи ба зудӣ фарорасанда мувофиқат мекунад, вақте ки Масеҳ бори дигар маъбади рӯҳониеро барпо мекунад, ки Ӯ ба он ногаҳон дар соати заминларзаи бузурги боби ёздаҳуми Ваҳй хоҳад омад.</w:t>
      </w:r>
    </w:p>
    <w:p>
      <w:pPr>
        <w:pStyle w:val="ArticleBody"/>
        <w:jc w:val="left"/>
      </w:pPr>
      <w:r>
        <w:rPr>
          <w:rFonts w:ascii="Times New Roman" w:hAnsi="Times New Roman" w:eastAsia="Times New Roman" w:cs="Times New Roman"/>
        </w:rPr>
        <w:t>Вақте ки фариштаи сеюм дар соли 1844 расид, Паёмовари Аҳд ногаҳон зоҳир шуд, то писарони Левиро пок созад; вале то соли 1863 он левизодагони бевафо паёми Мӯсоро, ки аз ҷониби Илёс расонида шуда буд, рад карданд ва рӯ ба саргардонӣ дар биёбон оварданд. Дар он раванди озмоиш «бинокорон» ниҳоят «санги кунҷӣ»-и «ҳафт замон»-ро рад мекарданд, ва баъд аз ҷунбиши Филаделфия ба калисои Лоудикия мегузаштанд. Дар айёми охир, вақте ки Паёмовари Аҳд ногаҳон ба маъбади Худ меояд, дар қонуни якшанбеи наздикшаванда, Ӯ левизодагони вафодорро ба кор хоҳад бурд, то рамаи дигари Худро даъват намоянд. Вафодорони айёми охир аз «калисо»-и Лоудикия ба «ҷунбиш»-и Филаделфия гузашта хоҳанд буд.</w:t>
      </w:r>
    </w:p>
    <w:p>
      <w:pPr>
        <w:pStyle w:val="ArticleBody"/>
        <w:jc w:val="left"/>
      </w:pPr>
      <w:r>
        <w:rPr>
          <w:rFonts w:ascii="Times New Roman" w:hAnsi="Times New Roman" w:eastAsia="Times New Roman" w:cs="Times New Roman"/>
        </w:rPr>
        <w:t>Ҳаракати фариштаи якум паёми расмиятдодашудаи худро баъд аз дусаду бист сол пас аз нашр гардидани Китоби Муқаддаси шоҳ Ҷеймс ба табъ расонид, ва ҳаракати фариштаи сеюм паёми расмиятдодашудаи худро баъд аз дусаду бист сол пас аз нашр гардидани Эъломияи Истиқлолият ба табъ расонид. Паёми расмиятдодашудаи ҳар ду ҳаракат бо иҷрои як нубуввати ислом қувват бахшида шуд, ки он бо фуруд омадани як фаришта аломатгузорӣ гардида буд. Омадани он фаришта оғози «баҳс»-и боби дуюми Ҳабаққуқро муайян кард ва ба интишори ҷадвалҳои Ҳабаққуқ роҳ бурд.</w:t>
      </w:r>
    </w:p>
    <w:p>
      <w:pPr>
        <w:pStyle w:val="ArticleBody"/>
        <w:jc w:val="left"/>
      </w:pPr>
      <w:r>
        <w:rPr>
          <w:rFonts w:ascii="Times New Roman" w:hAnsi="Times New Roman" w:eastAsia="Times New Roman" w:cs="Times New Roman"/>
        </w:rPr>
        <w:t>Паёми пуриқтидоре, ки бо лавҳаҳои Ҳабаққуқ муаррифӣ гардида буд, ба як ноумедӣ оварда расонд, ки он давраи таъхирро ворид намуд, ва он ба паёми Нидои Нимашаб бурда расонд, ки бо иҷро ёфтани паёми Нидои Нимашаб ба анҷом расид. Мувозиятҳое, ки миёни ин ду ҳаракат вуҷуд доранд, барои онҳое ки интихоб мекунанд бубинанд, далели қотеъанд, ки ҳамаи унсурҳои таърихи миллерӣ бо таърихи яксаду чилу чаҳор ҳазор алоқаманданд ва дар он такрор мешаванд. Давраи замонии борони охирин дар ҳаракати миллерӣ ба таври намунавӣ пешнамоӣ шудааст, ва он дар ҳаракати Future for America иҷро мегардад. Такроран Илҳом ба онҳое ки омодаанд бишнаванд хабар медиҳад, ки танҳо онҳое ки борони охиринро мешиносанд, онро қабул хоҳанд кард.</w:t>
      </w:r>
    </w:p>
    <w:p>
      <w:pPr>
        <w:pStyle w:val="ArticleBody"/>
        <w:jc w:val="left"/>
      </w:pPr>
      <w:r>
        <w:rPr>
          <w:rFonts w:ascii="Times New Roman" w:hAnsi="Times New Roman" w:eastAsia="Times New Roman" w:cs="Times New Roman"/>
        </w:rPr>
        <w:t>Давра, ҳаракат ва паёми борони охир ҳама дар таърихи миллериён ифода ёфтаанд, ва калимаи «шинохтан» дидани чизеро ифода мекунад, ки пештар дида будед. Ягона роҳи дидани давра, ҳаракат ва паёми борони охир ин аст, ки бишиносед, ки он дар таърихи миллериён ба тасвир кашида шудааст. Он ҳамчунин дар дигар ҳаракатҳои муқаддаси ислоҳот ба тасвир кашида шудааст. Ҳаракати миллериён ҳаракати ибтидоӣ буд, ки ҳаракати анҷомро намояндагӣ мекунад, ва бинобар ин нисбат ба ҳаракатҳои пештараи ислоҳот ишораҳои мустақими бисёр бештар дорад. Он ҳамчунин муҳри Алфа ва Омегаро дорад, ки ҳамеша анҷоми чизеро бо оғози он ба тасвир мекашанд.</w:t>
      </w:r>
    </w:p>
    <w:p>
      <w:pPr>
        <w:pStyle w:val="ArticleBody"/>
        <w:jc w:val="left"/>
      </w:pPr>
      <w:r>
        <w:rPr>
          <w:rFonts w:ascii="Times New Roman" w:hAnsi="Times New Roman" w:eastAsia="Times New Roman" w:cs="Times New Roman"/>
        </w:rPr>
        <w:t>Дар ҳаракати Миллеритӣ таҳкурсӣ барпо гардид, ва сутуни марказӣ боби ҳаштуми китоби Дониёл, оятҳои сездаҳ ва чордаҳ буд. Ман огоҳам, ки хоҳар Уайт ояти чордаҳро ҳамчун сутуни марказӣ ва таҳкурсӣ муайян мекунад, аммо воқеият ин аст, ки ояти чордаҳ ҷавоб ба саволи ояти сездаҳ мебошад. Ҷавоб бе дарки саволе, ки он ҷавобро бармеангезад, холӣ аст. Ояти сездаҳ рӯъёи поймол гардиданро муайян мекунад, ки он ба василаи ду қудрати вайронгар анҷом меёбад, ва ояти чордаҳ рӯъёи Масеҳ аст, ки маъбад ва лашкарро, ки поймол гардида буданд, барқарор месозад. Ду рӯъё ба таври бевосита тавассути замина, тавассути дастури наҳвӣ ва тавассути Палмонӣ, Шуморакунандаи Аҷоиб, бо ҳам пайвастанд.</w:t>
      </w:r>
    </w:p>
    <w:p>
      <w:pPr>
        <w:pStyle w:val="ArticleBody"/>
        <w:jc w:val="left"/>
      </w:pPr>
      <w:r>
        <w:rPr>
          <w:rFonts w:ascii="Times New Roman" w:hAnsi="Times New Roman" w:eastAsia="Times New Roman" w:cs="Times New Roman"/>
        </w:rPr>
        <w:t>Вилям Миллер барои муайян кардани ҳақиқатҳои бунёдӣ ба кор бурда шуд, ки онҳо Дониёл боби ҳашт, оятҳои сездаҳ ва чордаҳ мебошанд. Аввалин гавҳаре, ки ӯ кашф намуд, «ҳафт замон» буд, ки поймол гардидани ояти сездаҳро ифода мекунад; ва чаҳорчӯбе, ки ӯ тамоми сохтори пешгӯёнаи худро бар он бино кард, мавзӯи «ду қудрати вайронкунанда» буд, ки дар ояти сездаҳ нишон дода шудааст. Миллер дуруст муайян кард, ки «ҳамешагӣ»-и нафратовари ояти сездаҳ бутпарастӣ буд, ва таҷовузи қудрати вайронкунанда папизм буд. Аз ин рӯ, худи «бунёд»-и чаҳорчӯби Миллер, ва «бунёд»-и бунёд ва сутуни марказӣ, ин фаҳмиш буд, ки «ҳамешагӣ» дар боби ҳашт бутпарастиро ифода мекунад. Бунёди афзоиши дониш аз таърихи миллерӣ ин буд, ки «ҳамешагӣ» дар Дониёл боби ҳашт бутпарастӣ буд, ва илҳом бо эҳтиёт равшан намуд, ки «онҳое ки нидои соати довариро доданд, назари дуруст дар бораи ҳамешагӣ доштанд».</w:t>
      </w:r>
    </w:p>
    <w:p>
      <w:pPr>
        <w:pStyle w:val="ArticleBody"/>
        <w:jc w:val="left"/>
      </w:pPr>
      <w:r>
        <w:rPr>
          <w:rFonts w:ascii="Times New Roman" w:hAnsi="Times New Roman" w:eastAsia="Times New Roman" w:cs="Times New Roman"/>
        </w:rPr>
        <w:t>Бунёди нуре, ки дар соли 1989 ҳамчун «афзоиши дониш» дар замони поён муаррифӣ шудааст, ҳамчунин «қурбонии доимӣ» аст. Ин танҳо як мутобиқати дигари илоҳист. Барои дарк кардани афзоиши донише, ки дар шаш ояти охири Дониёл ёздаҳ тасвир шудааст, татбиқи навиштаҳои Эллен Уайт зарур аст. Ӯ дар навиштаҳои худ муайян месозад, ки таърихи ояти сию якуми Дониёл ёздаҳ дар оятҳои ниҳоии Дониёл ёздаҳ такрор хоҳад шуд. Бидуни он ишораи илҳомбахш, фаҳмидани таърихи мувозии ояти сию як бо оятҳои чиҳил ва чиҳилу як вазифаи бисёр душвортаре мебуд.</w:t>
      </w:r>
    </w:p>
    <w:p>
      <w:pPr>
        <w:pStyle w:val="ArticleBody"/>
        <w:jc w:val="left"/>
      </w:pPr>
      <w:r>
        <w:rPr>
          <w:rFonts w:ascii="Times New Roman" w:hAnsi="Times New Roman" w:eastAsia="Times New Roman" w:cs="Times New Roman"/>
        </w:rPr>
        <w:t>«Ҳаррӯза» дар китоби Дониёл бутпарастиро ифода мекунад ва асоси асосҳо барои Миллериён мебошад, ва он ҳамчунин асоси паём барои ҳаракати яксаду чилу чор ҳазор аст. Ин ҳамчунин ҳамон ҳақиқатест, ки қасдан ба воситаи як «дурӯғ», ки ба насли сеюми Адвентизми Лудикия ворид карда шуд, ба хатогӣ табдил дода гардид; он ба воситаи сеюмин зиштии «заноне, ки барои Таммуз мегиристанд» дар боби ҳаштуми Ҳизқиёл ва созише, ки аз ҷониби калисои сеюми Перғом ифода шудааст, тимсолӣ гардидааст.</w:t>
      </w:r>
    </w:p>
    <w:p>
      <w:pPr>
        <w:pStyle w:val="ArticleBody"/>
        <w:jc w:val="left"/>
      </w:pPr>
      <w:r>
        <w:rPr>
          <w:rFonts w:ascii="Times New Roman" w:hAnsi="Times New Roman" w:eastAsia="Times New Roman" w:cs="Times New Roman"/>
        </w:rPr>
        <w:t>Роҳнамоии илоҳӣ, ки нақши «қурбонии доимӣ»-ро ҳамчун масъалае дар замони борони охирин ҳидоят мекунад, ба таври комилан ҳайратангез аст ва берун аз имконпазирии сохтакории инсонӣ мебошад. Насли чоруми адвентизми Лаодиқия ҳамчун касоне тасвир мешавад, ки ба офтоб саҷда меоранд; бинобар ин, онҳо қабули нишони ҳайвонро ифода мекунанд. Хоҳар Уайт муайян месозад, ки гирифтани он нишон ба маънои расидан ба ҳамон тарзи фикр бо ҳайвон аст, ва онҳое ки дар бораи маънии зиддимасеҳ саргардон мешаванд, дар ниҳоят дар ҷониби марди гуноҳ қарор хоҳанд гирифт. Ҳамаи инро пирмардони қадим дар Уршалим, дар боби ҳаштуми Ҳизқиёл, ифода менамоянд.</w:t>
      </w:r>
    </w:p>
    <w:p>
      <w:pPr>
        <w:pStyle w:val="ArticleBody"/>
        <w:jc w:val="left"/>
      </w:pPr>
      <w:r>
        <w:rPr>
          <w:rFonts w:ascii="Times New Roman" w:hAnsi="Times New Roman" w:eastAsia="Times New Roman" w:cs="Times New Roman"/>
        </w:rPr>
        <w:t>Дар насли сеюм ва чаҳорум Худо онҳоеро, ки аз Ӯ нафрат доранд, доварӣ мекунад, ва он доварӣ дар ҳамон замоне иҷро мешавад, ки табақаи дигар мӯҳри тасдиқи Худоро қабул мекунад. Ҳамон порчае аз Навиштаҳои Муқаддас, ки ба Вилям Миллер нуре бахшид, то дарк намояд, ки ин Руми бутпараст буд, ки дар китоби Дониёл ҳамчун «қурбонии доимӣ» муаррифӣ шудааст, мустақимтарин шиносоии марди гуноҳ аст, ки назди ӯ мардони пир дар боби ҳаштуми Ҳизқиёл саҷда мекунанд. Ин боб попро ҳамчун қувваи дуюми харобкунанда муайян менамояд, ҳамзамон бутпарастии қувваи якуми харобкунандаро низ муайян мекунад. Ва ҳақиқате, ки мавзӯи ин порча аст, нақши Руми бутпараст мебошад, ки дар 2 Таслӯникиён он қувваест, ки папаро аз ба тахт нишастан то соли 538 бозмедорад.</w:t>
      </w:r>
    </w:p>
    <w:p>
      <w:pPr>
        <w:pStyle w:val="ArticleBody"/>
        <w:jc w:val="left"/>
      </w:pPr>
      <w:r>
        <w:rPr>
          <w:rFonts w:ascii="Times New Roman" w:hAnsi="Times New Roman" w:eastAsia="Times New Roman" w:cs="Times New Roman"/>
        </w:rPr>
        <w:t>«Доимӣ», ки ҳақиқати поягини Миллер буд ва ба ӯ имкон дод, ки чаҳорчӯбаи нубувватеро бар асоси ду қудрати вайронгаре, ки мақдасгоҳ ва лашкарро поймол мекунанд, таҳия намояд, ҳамон ҳақиқатест, ки Павлус онро ҳамчун ҳақиқате муайян мекунад, ки рад карда мешавад ва дар рӯзҳои охир бар онҳое ки айнан ҳамон ҳақиқатро дӯст намедоранд, гумроҳии сахт меоварад. Мувофиқи таърихҳои мувозӣ, айнан ҳамон ҳақиқат, ки ҳақиқати поягин аст, ба Future for America имкон дод, ки дар бораи иттиҳоди ниҳоии сегона дар рӯзҳои охир чаҳорчӯбаи нубувватеро таҳия намояд.</w:t>
      </w:r>
    </w:p>
    <w:p>
      <w:pPr>
        <w:pStyle w:val="ArticleBody"/>
        <w:jc w:val="left"/>
      </w:pPr>
      <w:r>
        <w:rPr>
          <w:rFonts w:ascii="Times New Roman" w:hAnsi="Times New Roman" w:eastAsia="Times New Roman" w:cs="Times New Roman"/>
        </w:rPr>
        <w:t>На танҳо ин, балки он ҳақиқати асосӣ, ки барои ҳар ду таърихи мувозӣ ҳақиқати бунёдист, ба ҳамон «дурӯғ» табдил дода мешавад, ки ба хатоии асосӣ ва гумроҳии сахти Павлус мубаддал мегардад, зеро он чаҳорчӯби паёми бардурӯғи «сулҳ ва амният»-и борони охирини козиб аст, ки аз ҷониби он мардоне эълон мешавад, ки дигар ҳеҷ гоҳ овозҳои худро баланд нахоҳанд кард, то ба қавми Худо гуноҳҳои онҳоро нишон диҳанд. «Ҳаррӯза» бунёди ҳам ҳаракати фариштаи аввал ва ҳам фариштаи сеюмро ифода мекунад, ва вақте ки шӯришгарони Лаодикия маънои онро чаппа карданд, бо он ки рамзи шайтонӣро ҳамчун рамзи Масеҳ муаррифӣ намуданд, он рамзи бардурӯғ ба бунёди паёми тақаллубии борони охирини козиб табдил ёфт.</w:t>
      </w:r>
    </w:p>
    <w:p>
      <w:pPr>
        <w:pStyle w:val="ArticleScripture"/>
        <w:jc w:val="left"/>
      </w:pPr>
      <w:r>
        <w:rPr>
          <w:rFonts w:ascii="Times New Roman" w:hAnsi="Times New Roman" w:eastAsia="Times New Roman" w:cs="Times New Roman"/>
        </w:rPr>
        <w:t>Ҳайрон монед ва тааҷҷуб кунед; фарёд занед ва нола кунед: маст шудаанд, вале на аз шароб; меланганд, вале на аз нӯшокии масткунанда. Зеро Худованд бар шумо рӯҳи хоби амиқро рехтааст ва чашмони шуморо бастааст; анбиё ва сарварони шуморо, яъне бинандагонро, Ӯ пӯшонидааст. Ва тамоми рӯъё барои шумо мисли суханони китоби мӯҳршуда гардидааст, ки онро ба касе донишманд медиҳанд ва мегӯянд: «Лутфан, инро бихон». Ва ӯ мегӯяд: «Наметавонам, зеро он мӯҳр шудааст». Ва китобро ба касе ки дониш надорад медиҳанд ва мегӯянд: «Лутфан, инро бихон». Ва ӯ мегӯяд: «Ман дониш надорам». Бинобар ин Худованд гуфт: «Азбаски ин қавм бо даҳони худ ба Ман наздик мешаванд ва бо лабони худ Маро эҳтиром мекунанд, аммо дили худро аз Ман дур кардаанд, ва тарси онҳо аз Ман аз рӯи дастури одамон омӯхта шудааст, пас, инак, Ман боз дар миёни ин қавм амали аҷибе ба амал хоҳам овард, амали аҷибе ва ҳайратангез; зеро ҳикмати ҳикматмандонашон нобуд хоҳад шуд, ва фаҳмиши хирадмандонашон пинҳон хоҳад гашт». Вой бар ҳоли онҳое ки чуқур меҷӯянд, то машварати худро аз Худованд пинҳон доранд, ва корҳои онҳо дар торикӣ аст, ва мегӯянд: «Кист, ки моро мебинад? Ва кист, ки моро мешиносад?» Ҳаққо, вожгун сохтани корҳои шумо мисли гили кулолгар шумурда хоҳад шуд; зеро оё кори сохташуда дар бораи офарандаи худ хоҳад гуфт: «Ӯ маро насохтааст»? Ё оё чизе ки сохта шудааст, дар бораи созандаи худ хоҳад гуфт: «Ӯ фаҳмиш надошт»? Ишаъё 29:9–16.</w:t>
      </w:r>
    </w:p>
    <w:p>
      <w:pPr>
        <w:pStyle w:val="ArticleBody"/>
        <w:jc w:val="left"/>
      </w:pPr>
      <w:r>
        <w:rPr>
          <w:rFonts w:ascii="Times New Roman" w:hAnsi="Times New Roman" w:eastAsia="Times New Roman" w:cs="Times New Roman"/>
        </w:rPr>
        <w:t>Ҳамаи анбиё дар бораи рӯзҳои охир сухан гуфтаанд, ва дурӯғ гуфтан ба таври ошкоро барои он ки маънои «қурбонии доимӣ»-ро тамоман вожгун гардонад, ба таърифи гуноҳи нобахшиданӣ аз наздик шабоҳат дорад. Ба шахсе ҳукм кардан, ки ӯ барои ҳамеша ҳалокшуда аст, берун аз тавоноӣ ё салоҳияти ахлоқии инсонҳо нисбат ба инсонҳои дигар мебошад, аммо он чи дар ин ҷо муайян карда мешавад, ҳамин нест.</w:t>
      </w:r>
    </w:p>
    <w:p>
      <w:pPr>
        <w:pStyle w:val="ArticleBody"/>
        <w:jc w:val="left"/>
      </w:pPr>
      <w:r>
        <w:rPr>
          <w:rFonts w:ascii="Times New Roman" w:hAnsi="Times New Roman" w:eastAsia="Times New Roman" w:cs="Times New Roman"/>
        </w:rPr>
        <w:t>Онҳое ки дар Ишаъё ҳама чизро чаппа мегардонанд, ки ин танҳо як тарзи дигари баёни он аст, ки Ишаъё дар ҷои дигар онро ҳамчун торикиро нур хондан ё нурро торикӣ хондан муайян мекунад, ҳамчун мардони қадимие шинохта мешаванд, ки бар Ерусалим ҳукмронӣ мекунанд, дар ҳоле ки доварии ниҳоии онҳо ба тасвир кашида мешавад.</w:t>
      </w:r>
    </w:p>
    <w:p>
      <w:pPr>
        <w:pStyle w:val="ArticleScripture"/>
        <w:jc w:val="left"/>
      </w:pPr>
      <w:r>
        <w:rPr>
          <w:rFonts w:ascii="Times New Roman" w:hAnsi="Times New Roman" w:eastAsia="Times New Roman" w:cs="Times New Roman"/>
        </w:rPr>
        <w:t>Вой бар онҳое ки бадиро некӣ меноманд, ва некиро бадӣ; ки торикиро ба ҷои нур, ва нурро ба ҷои торикӣ мегузоранд; талхиро ба ҷои ширинӣ, ва шириниро ба ҷои талхӣ мегузоранд! Вой бар онҳое ки дар назари худ хирадманданд, ва дар пеши чашми худ оқил! Вой бар онҳое ки дар нӯшидани шароб қавианд, ва мардони зӯрманд барои омехтани машруботи масткунанда: ки шарирро барои ришва сафед мекунанд, ва адолати одилро аз ӯ мегиранд! Бинобар ин, чунон ки оташ хасро фурӯ мебарад, ва аланга коҳро месӯзонад, ҳамон тавр решаи онҳо мисли пӯсидагӣ хоҳад шуд, ва шукуфаи онҳо чун ғубор боло хоҳад рафт; зеро ки онҳо шариати Худованди лашкарҳоро рад кардаанд, ва каломи Қуддуси Исроилро хор шумурдаанд. Бинобар ин хашми Худованд бар қавми Ӯ аланга зад, ва Ӯ дасти Худро бар зидди онҳо дароз карда, онҳоро зарба зад; ва теппаҳо ба ларза даромаданд, ва ҷасадҳои онҳо дар миёни кӯчаҳо пора-пора шуданд. Бо вуҷуди ҳамаи ин хашми Ӯ барнагаштааст, балки дасти Ӯ ҳанӯз дароз аст. Ва Ӯ барои халқҳо аз дур парчаме хоҳад барафрошт, ва ба онҳо аз канори замин ишора хоҳад кард; ва инак, онҳо бо шитоб бисёр зуд хоҳанд омад. Ишаъё 5:20–26.</w:t>
      </w:r>
    </w:p>
    <w:p>
      <w:pPr>
        <w:pStyle w:val="ArticleBody"/>
        <w:jc w:val="left"/>
      </w:pPr>
      <w:r>
        <w:rPr>
          <w:rFonts w:ascii="Times New Roman" w:hAnsi="Times New Roman" w:eastAsia="Times New Roman" w:cs="Times New Roman"/>
        </w:rPr>
        <w:t>Нишони Худо (як саду чиҳилу чор ҳазор) ҳамчун нишоне бардошта мешавад дар вақти қонуни наздикояндаи якшанбе, ки ҳамон замонест, ки «хашми Худованд бар қавми Ӯ аланга мегирад», ва Ӯ «дасти Худро бар зидди онҳо дароз мекунад», ва «онҳоро мезанад», ва «ҷасадҳои онҳо дар миёни кӯчаҳо пора-пора хоҳанд шуд». Миёни кӯчаҳо ҳамон кӯчаҳои Ерусалим аст, вақте ки ба фариштагони ҳалокатбори боби нӯҳуми Ҳизқиёл амр дода мешавад, ки берун раванд «ва бизанед: чашми шумо шафқат накунад, ва раҳм наоваред: пирону ҷавононро, ҳам духтарон ва ҳам кӯдакони хурд, ва занонро комилан бикушед: вале ба ҳеҷ касе, ки нишона бар ӯст, наздик нашавед; ва аз муқаддасгоҳи Ман оғоз кунед. Пас онҳо аз пирони қадим, ки пеши хона буданд, оғоз карданд». «Пирони қадим»-и Ҳизқиёл, ки хоҳар Уайт мегӯяд онҳоянд, ки бояд нигаҳбонони қавм мебуданд, ҳамон «мастони Эфроим»-и Ишаъё мебошанд, ки дар бобҳои бисту ҳашт ва бисту нӯҳ «ҳама чизро чаппа мекунанд».</w:t>
      </w:r>
    </w:p>
    <w:p>
      <w:pPr>
        <w:pStyle w:val="ArticleBody"/>
        <w:jc w:val="left"/>
      </w:pPr>
      <w:r>
        <w:rPr>
          <w:rFonts w:ascii="Times New Roman" w:hAnsi="Times New Roman" w:eastAsia="Times New Roman" w:cs="Times New Roman"/>
        </w:rPr>
        <w:t>Дар боби панҷум онҳо касоне ҳастанд, ки «дар нӯшидани май қавӣ, ва мардони зӯр барои омехтани шароби масткунанда: онҳое ки шарирро ба ивази мукофот сафед мекунанд». Бо интишори китоби *Questions on Doctrine*, мардони қадим аз ҷоми протестантизми муртад нӯшиданд ва башорати бардурӯғи сафедшавиро пешкаш намуданд, ки даъво мекунад инсонҳо наметавонанд тақдис шаванд, ки Масеҳ Ивазкунандаи мост, аммо Намунаи мо нест. Бо ин амал, китоб шарирро сафед кард, ба хотири мукофоти пазируфта шудан дар миёни калисоҳои суқуткардаи протестантизми муртад. Ин порча доварии ниҳоии онҳоро муайян мекунад, ва сабаби он доварӣ он аст, ки онҳо «каломи Қуддуси Исроилро хор шумурданд». Онҳо инро бо рад кардани фаҳмиши «ҳамешагӣ», ки аз ҷониби онҳое пешниҳод шуда буд, ки нидои соати довариро доданд, ва бо нӯшидан аз ҷоми протестантизми муртад анҷом доданд.</w:t>
      </w:r>
    </w:p>
    <w:p>
      <w:pPr>
        <w:pStyle w:val="ArticleBody"/>
        <w:jc w:val="left"/>
      </w:pPr>
      <w:r>
        <w:rPr>
          <w:rFonts w:ascii="Times New Roman" w:hAnsi="Times New Roman" w:eastAsia="Times New Roman" w:cs="Times New Roman"/>
        </w:rPr>
        <w:t>Дар он порча онҳо он чиро, ки ширин аст, ба талх, ва он чиро, ки талх аст, ба ширин табдил медиҳанд. Паёме, ки ҳангоми фуруд омадани Фаришта дар дасти Ӯст, ширин аст, аммо хулосаи он паём талх аст. Онҳо баҳс мекунанд, ки паёми ҳақиқии борони охир, ки ҳангоме оғоз меёбад, ки Фаришта фуруд меояд, талх аст, ва дар анҷом онҳо паёми дурӯғини ширини сулҳу амниятро муайян мекунанд, зеро наметавонанд худро аз вожгун сохтани ҳама чиз боздоранд.</w:t>
      </w:r>
    </w:p>
    <w:p>
      <w:pPr>
        <w:pStyle w:val="ArticleBody"/>
        <w:jc w:val="left"/>
      </w:pPr>
      <w:r>
        <w:rPr>
          <w:rFonts w:ascii="Times New Roman" w:hAnsi="Times New Roman" w:eastAsia="Times New Roman" w:cs="Times New Roman"/>
        </w:rPr>
        <w:t>Қисмате ки дар он ин гуноҳ тасвир шудааст, дар анҷоми замони имтиҳонии ҷамъиятии онҳо ҷой дорад. Бинобар ин, дуруст аст, ки дида шавад: амали онҳо, ки кори шайтонӣи бутпарастиро ҳамчун кори Масеҳ муаррифӣ менамояд, ҳамсангии нубувватӣ бо гуноҳи нобахшиданӣ дорад, ки он нисбат додани кори Рӯҳулқудс ба Шайтон мебошад. Ҷой додани «дурӯғ» ба насли сеюми Адвентизм мантиқи бунёдии паёми бардурӯғи борони охирини онҳоро фароҳам овард ва дар ниҳоят бар онҳо гумроҳии сахт меоварад. Ҳамон порчае ки дар он Миллер маънои дурусти «ҳамешагӣ»-ро дарк намуд, ҳамон ҷоест ки онҳо ҳамчун сарнагуншуда тасвир гардидаанд.</w:t>
      </w:r>
    </w:p>
    <w:p>
      <w:pPr>
        <w:pStyle w:val="ArticleScripture"/>
        <w:jc w:val="left"/>
      </w:pPr>
      <w:r>
        <w:rPr>
          <w:rFonts w:ascii="Times New Roman" w:hAnsi="Times New Roman" w:eastAsia="Times New Roman" w:cs="Times New Roman"/>
        </w:rPr>
        <w:t>Ҳеҷ кас шуморо ба ҳеҷ ваҷҳ нафиребад; зеро он рӯз нахоҳад омад, магар он ки аввал муртадшавӣ ба амал ояд ва он марди гуноҳ зоҳир гардад, он писари ҳалокат, ки мухолифат мекунад ва худро болотар аз ҳар он чи Худо хонда мешавад ё мавриди парастиш аст, мебардорад; ба тавре ки ӯ чун Худо дар маъбади Худо менишинад ва худро нишон медиҳад, ки гӯё ӯ Худост. Оё дар хотир надоред, ки вақте ҳанӯз бо шумо будам, ин чизҳоро ба шумо мегуфтам? Ва акнун шумо медонед он чиро, ки бозмедорад, то ки ӯ дар вақти худ зоҳир гардад. Зеро сирри шарорат аллакай амал мекунад; фақат он касе ки ҳоло бозмедорад, боз хоҳад дошт, то даме ки аз миён гирифта шавад. Ва он гоҳ он Шарир зоҳир хоҳад шуд, ки Худованд ӯро бо рӯҳи даҳони Худ нобуд хоҳад кард ва бо ҷилои омадани Худ маҳв хоҳад сохт; ҳамон касе ки омадани ӯ мувофиқи амали шайтон аст, бо тамоми қудрат ва аломатҳо ва мӯъҷизаҳои дурӯғин, ва бо ҳар навъ фиреби ноадолатӣ дар миёни онҳое ки ҳалок мешаванд, зеро муҳаббати ростиро напазируфтанд, то ки наҷот ёбанд. Ва барои ҳамин Худо ба онҳо гумроҳии сахт хоҳад фиристод, то ба дурӯғ имон оваранд, то ҳама онҳое ки ба ростӣ имон наоварданд, балки аз ноадолатӣ лаззат бурданд, маҳкум гарданд. 2 Таслӯникиён 2:3–12.</w:t>
      </w:r>
    </w:p>
    <w:p>
      <w:pPr>
        <w:pStyle w:val="ArticleBody"/>
        <w:jc w:val="left"/>
      </w:pPr>
      <w:r>
        <w:rPr>
          <w:rFonts w:ascii="Times New Roman" w:hAnsi="Times New Roman" w:eastAsia="Times New Roman" w:cs="Times New Roman"/>
        </w:rPr>
        <w:t>Пайғамбарон дар бораи рӯзҳои охир назар ба ҳар таърихи муқаддаси пешин бештар сухан мегӯянд, ва ин дар бораи ин порча низ дуруст аст. Таҳкурсии афзоиши дониш дар фаҳмиши Миллер, ҳамчунин таҳкурсии он афзоиши донишест, ки соли 1989 ба миён омад; зеро дарки дурусти таърихи нубувватие, ки бо «қурбонии доимӣ» алоқаманд аст, таърихи оятҳои чиҳил ва чиҳилу яки Дониёл ёздаҳро тавсиф мекунад. Маънои ин он аст, ки агар донишҷӯи нубувват нақши бутпарастӣ ва робитаи нубувватии онро бо Руми папавӣ дарк накунад, он донишҷӯ наметавонад бишиносад, ки нахуст кори боздоштани болоравии папагӣ, ва баъдан кори бар тахти замин нишонидани папагӣ, аз ҷониби бутпарастӣ анҷом ёфтааст; ва он кор нақши ҳайвони заминии Ваҳй сездаҳро намунагӣ мекунад, ки аввал папагиро бозмедорад, аммо баъд дигар мешавад ва онро бар тахти замин менишонад. Нақши ҳайвони заминии Ваҳй сездаҳ ҳамчун ояндаи Амрико муаррифӣ шудааст.</w:t>
      </w:r>
    </w:p>
    <w:p>
      <w:pPr>
        <w:pStyle w:val="ArticleBody"/>
        <w:jc w:val="left"/>
      </w:pPr>
      <w:r>
        <w:rPr>
          <w:rFonts w:ascii="Times New Roman" w:hAnsi="Times New Roman" w:eastAsia="Times New Roman" w:cs="Times New Roman"/>
        </w:rPr>
        <w:t>Мо баррасии худро дар бораи кушода шудани муҳри нури Дарёи Ҳиддиқал дар мақолаи навбатии худ идома хоҳем дод.</w:t>
      </w:r>
    </w:p>
    <w:p>
      <w:pPr>
        <w:pStyle w:val="ArticleScripture"/>
        <w:jc w:val="left"/>
      </w:pPr>
      <w:r>
        <w:rPr>
          <w:rFonts w:ascii="Times New Roman" w:hAnsi="Times New Roman" w:eastAsia="Times New Roman" w:cs="Times New Roman"/>
        </w:rPr>
        <w:t>«Он ки зери зоҳирро мебинад ва дилҳои ҳамаи одамонро мехонад, дар бораи онҳое ки нури бузург доштаанд, мегӯяд: “Онҳо аз сабаби ҳолати ахлоқӣ ва рӯҳонии худ андӯҳгин ва ҳайрон намешаванд.” Оре, онҳо роҳҳои худро баргузидаанд, ва ҷони онҳо аз корҳои зишти худ лаззат мебарад. “Пас Ман низ гумроҳиҳои онҳоро интихоб хоҳам кард, ва он чиро, ки аз он метарсанд, бар онҳо хоҳам овард; зеро вақте ки Ман хондам, ҳеҷ кас ҷавоб надод; вақте ки сухан гуфтам, онҳо нашуниданд; балки дар пеши чашмони Ман бадӣ карданд, ва он чиро интихоб намуданд, ки Ман аз он хушнуд набудам.” “Худо ба онҳо гумроҳии пурқувват хоҳад фиристод, то ки ба дурӯғ имон оваранд,” зеро “муҳаббати ростиро қабул накарданд, то наҷот ёбанд,” “балки аз ноинсофӣ лаззат бурданд.” Ишаъё 66:3, 4; 2 Таслӯникиён 2:11, 10, 12.»</w:t>
      </w:r>
    </w:p>
    <w:p>
      <w:pPr>
        <w:pStyle w:val="ArticleScripture"/>
        <w:jc w:val="left"/>
      </w:pPr>
      <w:r>
        <w:rPr>
          <w:rFonts w:ascii="Times New Roman" w:hAnsi="Times New Roman" w:eastAsia="Times New Roman" w:cs="Times New Roman"/>
        </w:rPr>
        <w:t>«Омӯзгори осмонӣ пурсид: “Кадом фиреби пурзӯртаре метавонад зеҳнро гумроҳ созад аз ин вонамуд, ки шумо бар таҳкурсии дуруст бино мекунед ва Худо аъмоли шуморо қабул мекунад, дар ҳоле ки дар асл шумо бисёр чизҳоро мувофиқи сиёсати дунявӣ ба амал меоваред ва бар зидди Яҳува гуноҳ мекунед? Оҳ, ин фиреби бузург аст, ин гумроҳии фаттан аст, ки бар зеҳнҳо тасаллут меёбад, вақте ки одамоне, ки замоне ҳақиқатро шинохта буданд, сурати худотарсиро ба ҷойи рӯҳ ва қудрати он мегиранд; ҳангоме ки онҳо мепиндоранд, ки сарватманданд ва аз неъматҳо афзун гаштаанд ва ба ҳеҷ чиз эҳтиёҷ надоранд, дар сурате ки дар асл ба ҳама чиз муҳтоҷанд.”»</w:t>
      </w:r>
    </w:p>
    <w:p>
      <w:pPr>
        <w:pStyle w:val="ArticleScripture"/>
        <w:jc w:val="left"/>
      </w:pPr>
      <w:r>
        <w:rPr>
          <w:rFonts w:ascii="Times New Roman" w:hAnsi="Times New Roman" w:eastAsia="Times New Roman" w:cs="Times New Roman"/>
        </w:rPr>
        <w:t>«Худо нисбат ба бандагони вафодори Худ, ки либосҳои худро беолоиш нигоҳ медоранд, тағйир наёфтааст. Аммо бисёриҳо нидо мекунанд: “Сулҳу амният”, дар ҳоле ки ҳалокати ногаҳонӣ бар онҳо меояд. То вақте ки тавбаи амиқ ба амал наояд, то вақте ки одамон дилҳои худро бо иқрор фурӯтан насозанд ва ҳақиқатро ҳамон гуна ки дар Исо аст, қабул накунанд, онҳо ҳаргиз ба осмон дохил нахоҳанд шуд. Вақте ки поксозӣ дар сафҳои мо ба амал ояд, мо дигар дар осоиш намеистем ва аз он ки бой ҳастем, молу мулки фаровон дорем ва ба ҳеҷ чиз эҳтиёҷ надорем, фахр нахоҳем кард.»</w:t>
      </w:r>
    </w:p>
    <w:p>
      <w:pPr>
        <w:pStyle w:val="ArticleScripture"/>
        <w:jc w:val="left"/>
      </w:pPr>
      <w:r>
        <w:rPr>
          <w:rFonts w:ascii="Times New Roman" w:hAnsi="Times New Roman" w:eastAsia="Times New Roman" w:cs="Times New Roman"/>
        </w:rPr>
        <w:t>«Кист, ки ба ростӣ гуфта тавонад: “Тиллои мо дар оташ озмуда шудааст; либосҳои мо аз олам доғдор нашудаанд”? Ман дидам, ки Устоди мо ба либосҳои ба истилоҳ адолат ишора мекард. Онҳоро аз танашон кашида, нопокии пинҳон дар зерашонро ошкор сохт. Сипас ба ман гуфт: “Оё намебинӣ, ки чӣ гуна онҳо бо зоҳирпарастӣ нопокӣ ва пӯсидагии хислати худро рӯйпӯш кардаанд? ‘Чӣ гуна шаҳри вафодор фоҳиша шудааст!’ Хонаи Падари Ман ба хонаи тиҷорат табдил ёфтааст, ба ҷойе, ки ҳузур ва ҷалоли илоҳӣ аз он рафтааст! Аз ҳамин сабаб сустӣ ҳаст, ва қувват намерасад.”» Шаҳодатҳо, ҷилди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наваду як</dc:title>
  <dc:subject>Фошсозии Дарёи Нубувватӣ: Сайре дар Пайвандҳои Байни Ҳаракатҳои Рӯъёҳои Дониёл</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