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 нӯҳ</w:t>
      </w:r>
    </w:p>
    <w:p>
      <w:pPr>
        <w:pStyle w:val="ArticleSubtitle"/>
        <w:jc w:val="left"/>
      </w:pPr>
      <w:r>
        <w:rPr>
          <w:rFonts w:ascii="Arial" w:hAnsi="Arial" w:eastAsia="Arial" w:cs="Arial"/>
        </w:rPr>
        <w:t>Рӯзҳои охир ва доварии Худо: ошкор сохтани даркҳои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«Рӯзҳои охир» эълони кушода шудани доварӣ дар ҳаракати фариштаи аввалро ифода мекунанд, ва дар ҳаракати фариштаи сеюм анҷоми доварӣ эълон карда мешавад. Дар «рӯзҳои охир» қавми Худо бархоста буданд ва бархоста мешаванд, то доварии Худоро эълон намоянд, аммо барои он ки фиристодаи доварии Худо бошед, бояд довариро бифаҳмед. Яке аз хусусиятҳои асосии адвентизми Лаодикия, ҳам табақаи донишманд ва ҳам табақаи нодонишманд, ин аст, ки онҳо доварии Худоро намедонанд. Ҳамаи анбиё ба таври мушаххастар ба рӯзҳои охир муроҷиат мекунанд, назар ба рӯзҳое ки худ дар онҳо зиндагӣ мекарданд.</w:t>
      </w:r>
    </w:p>
    <w:p>
      <w:pPr>
        <w:pStyle w:val="ArticleScripture"/>
        <w:jc w:val="left"/>
      </w:pPr>
      <w:r>
        <w:rPr>
          <w:rFonts w:ascii="Times New Roman" w:hAnsi="Times New Roman" w:eastAsia="Times New Roman" w:cs="Times New Roman"/>
        </w:rPr>
        <w:t>«Ҳар яке аз анбиёи қадим барои замони худ камтар аз он сухан мегуфтанд, ки барои замони мо; бинобар ин нубуввати онҳо барои мо эътибор дорад. “Ва ҳамаи ин чизҳо ба онҳо ҳамчун намунаҳо рӯй дод; ва барои насиҳати мо навишта шудааст, бар мо, ки поёнҳои ҷаҳон расидааст.” 1 Қӯринтиён 10:11». Selected Messages, book 3, 338.</w:t>
      </w:r>
    </w:p>
    <w:p>
      <w:pPr>
        <w:pStyle w:val="ArticleBody"/>
        <w:jc w:val="left"/>
      </w:pPr>
      <w:r>
        <w:rPr>
          <w:rFonts w:ascii="Times New Roman" w:hAnsi="Times New Roman" w:eastAsia="Times New Roman" w:cs="Times New Roman"/>
        </w:rPr>
        <w:t>Ҳамаи анбиё бо якдигар мувофиқанд, бинобар ин ҳамаи пешгӯйиҳои онҳо ҳамон як тасвирро пешкаш мекунанд, ва он тасвир ба рӯзҳои охир тааллуқ дорад, ки онҳо рӯзҳои доварӣ мебошанд.</w:t>
      </w:r>
    </w:p>
    <w:p>
      <w:pPr>
        <w:pStyle w:val="ArticleScripture"/>
        <w:jc w:val="left"/>
      </w:pPr>
      <w:r>
        <w:rPr>
          <w:rFonts w:ascii="Times New Roman" w:hAnsi="Times New Roman" w:eastAsia="Times New Roman" w:cs="Times New Roman"/>
        </w:rPr>
        <w:t>Ва рӯҳҳои анбиё тобеи анбиё ҳастанд. Зеро Худо муаллифи ошуфтагӣ нест, балки муаллифи сулҳ аст, чунон ки дар ҳамаи калисоҳои муқаддасон. 1 Қӯринтиён 14:32, 33.</w:t>
      </w:r>
    </w:p>
    <w:p>
      <w:pPr>
        <w:pStyle w:val="ArticleBody"/>
        <w:jc w:val="left"/>
      </w:pPr>
      <w:r>
        <w:rPr>
          <w:rFonts w:ascii="Times New Roman" w:hAnsi="Times New Roman" w:eastAsia="Times New Roman" w:cs="Times New Roman"/>
        </w:rPr>
        <w:t>Ерусалим дар рӯъёи Ҳизқиёл, ки аз боби ҳаштум оғоз меёбад, калисои Худост, ки ҳамон калисои Лаодикияи Адвентистони рӯзи ҳафтум дар айёми охир мебошад. Бобҳои ҳаштум ва нӯҳуми Ҳизқиёл ду табақаи парастандагонро дар анҷоми доварии хонаи Худо муайян мекунанд. Як табақа бо он бисту панҷ марди пир, ки ба офтоб саҷда мекунанд, тасвир шудааст; аммо онҳое ки аз барои зиштиҳое, ки дар калисо ва замин анҷом дода мешаванд, оҳу нола мекунанд, мӯҳри Худоро қабул менамоянд. Дар боби ёздаҳум, рӯъёи Ҳизқиёл тасвири ҷазои он бисту панҷ мардеро, ки ба офтоб саҷда мекунанд, идома медиҳад.</w:t>
      </w:r>
    </w:p>
    <w:p>
      <w:pPr>
        <w:pStyle w:val="ArticleScripture"/>
        <w:jc w:val="left"/>
      </w:pPr>
      <w:r>
        <w:rPr>
          <w:rFonts w:ascii="Times New Roman" w:hAnsi="Times New Roman" w:eastAsia="Times New Roman" w:cs="Times New Roman"/>
        </w:rPr>
        <w:t>Ғайр аз ин, рӯҳ маро боло бардошт ва маро назди дарвозаи шарқии хонаи Худованд, ки рӯ ба шарқ дорад, овард; ва инак, назди дари дарвоза бисту панҷ мард буданд; ва дар миёни онҳо ман Яазанё ибни Азур ва Фалатё ибни Баноёро, ки аз сарварони қавм буданд, дидам. Ва Ӯ ба ман гуфт: «Эй писари одам, инҳо ҳамон мардоне ҳастанд, ки шарорат меандешанд ва дар ин шаҳр машварати бад медиҳанд; ки мегӯянд: “Вақт наздик нест; хонаҳо бисозем: ин шаҳр дег аст, ва мо гӯшт ҳастем.” Бинобар ин бар зидди онҳо нубувват кун, нубувват кун, эй писари одам». Ва Рӯҳи Худованд бар ман фуруд омад ва ба ман гуфт: «Бигӯ: “Худованд чунин мегӯяд: эй хонадони Исроил, шумо чунин гуфтаед; зеро Ман он чизҳоро, ки ҳар яке аз шумо дар хотир меоваред, медонам. Шумо кушташудагони худро дар ин шаҳр бисёр гардонидаед ва кӯчаҳои онро аз кушташудагон пур кардаед. Бинобар ин Худованди Парвардигор чунин мегӯяд: кушташудагони шумо, ки онҳоро дар миёни он андохтаед, онҳо гӯштанд, ва ин шаҳр дег аст; аммо Ман шуморо аз миёни он берун хоҳам овард. Шумо аз шамшер тарсидаед; ва Ман шамшерро бар шумо хоҳам овард”, мегӯяд Худованди Парвардигор. “Ва Ман шуморо аз миёни он берун хоҳам овард ва ба дасти бегонагон таслим хоҳам кард, ва дар миёни шумо аҳкоми довариро ба ҷо хоҳам овард.” Ҳизқиёл 11:1–9.</w:t>
      </w:r>
    </w:p>
    <w:p>
      <w:pPr>
        <w:pStyle w:val="ArticleBody"/>
        <w:jc w:val="left"/>
      </w:pPr>
      <w:r>
        <w:rPr>
          <w:rFonts w:ascii="Times New Roman" w:hAnsi="Times New Roman" w:eastAsia="Times New Roman" w:cs="Times New Roman"/>
        </w:rPr>
        <w:t>Ерусалим ҳамчун «дег» шинохта мешавад, ва мардум дар Ерусалим «гӯшт» ҳастанд, ки дар он дег, яъне зарф, пухта мешаванд. Доварии бадкорон, ки аз ҷониби фариштагон бо аслиҳаи ҳалокатовар дар дастҳояшон, дар замони мӯҳргузории яксаду чилу чаҳор ҳазор ба анҷом мерасад (зеро хоҳар Уайт мегӯяд, ки мӯҳргузории боби нӯҳуми Ҳизқиёл ҳамон мӯҳргузории боби ҳафтуми Ваҳй аст), ин ҳақиқатро дар бар мегирад, ки бадкорон аз Ерусалим дур карда мешаванд. Дар қонуни якшанбеи наздикоянда, Ерусалими рӯҳонӣ пок карда хоҳад шуд ва чун парчаме бар ҳамаи кӯҳҳо барафрошта хоҳад гашт.</w:t>
      </w:r>
    </w:p>
    <w:p>
      <w:pPr>
        <w:pStyle w:val="ArticleScripture"/>
        <w:jc w:val="left"/>
      </w:pPr>
      <w:r>
        <w:rPr>
          <w:rFonts w:ascii="Times New Roman" w:hAnsi="Times New Roman" w:eastAsia="Times New Roman" w:cs="Times New Roman"/>
        </w:rPr>
        <w:t>Ва дар айёми охир воқеъ хоҳад шуд, ки кӯҳи хонаи Худованд бар сари кӯҳҳо барқарор хоҳад гардид, ва аз теппаҳо баландтар хоҳад шуд; ва ҳамаи халқҳо сӯи он ҷорӣ хоҳанд шуд. Ва халқҳои бисёр рафта хоҳанд гуфт: «Биёед, то ба кӯҳи Худованд, ба хонаи Худои Яъқуб, боло равем; ва Ӯ моро аз роҳҳои Худ таълим хоҳад дод, ва мо дар тариқҳои Ӯ хоҳем рафт; зеро аз Сион шариат берун хоҳад омад, ва каломи Худованд аз Ерусалим». Ишаъё 2:2, 3.</w:t>
      </w:r>
    </w:p>
    <w:p>
      <w:pPr>
        <w:pStyle w:val="ArticleBody"/>
        <w:jc w:val="left"/>
      </w:pPr>
      <w:r>
        <w:rPr>
          <w:rFonts w:ascii="Times New Roman" w:hAnsi="Times New Roman" w:eastAsia="Times New Roman" w:cs="Times New Roman"/>
        </w:rPr>
        <w:t>Поксозие, ки барои Ерусалим ҳангоми қонуни якшанбе анҷом меёбад, дур карда шудани адвентистони Лаодикия мебошад, ба тавре ки танҳо адвентистони Филаделфия боқӣ мемонанд. Сипас сохтори ҳуқуқии корпоративӣ ба анҷом мерасад, зеро ҳукумати Иёлоти Муттаҳида субъекти назораткунанда дар он низоми ҳуқуқиест, ки соли 1863 ташкил карда шуд; ва ҳангоме ки ҳукумати Иёлоти Муттаҳида риояи якшанберо бар саросари замин ҷорӣ месозад, сохтори корпоративии калисои Адвентистони Рӯзи Ҳафтум ё аз нигоҳи ҳуқуқӣ барҳам дода мешавад, ё шояд номи он аз нигоҳи ҳуқуқӣ ба чизе монанди калисои Адвентистони Якшанбе тағйир дода мешавад.</w:t>
      </w:r>
    </w:p>
    <w:p>
      <w:pPr>
        <w:pStyle w:val="ArticleBody"/>
        <w:jc w:val="left"/>
      </w:pPr>
      <w:r>
        <w:rPr>
          <w:rFonts w:ascii="Times New Roman" w:hAnsi="Times New Roman" w:eastAsia="Times New Roman" w:cs="Times New Roman"/>
        </w:rPr>
        <w:t>Ҳангоме ки шарирон дар Ерусалим аз дегдон ба воситаи фариштагони ҳалокатовар берун карда мешаванд, калисои адвентистии Лаодикия ба поён мерасад, ва ҳаракати Филаделфия Ерусалими рӯҳонӣ мегардад, ки чун парчаме барафрошта мешавад. Мико ба мардони қадимӣ муроҷиат мекунад, ки Ишаъё онҳоро мардони истеҳзокунанда меномад, ки нурро зулмот ва зулмотро нур меноманд, ва тавассути як савол муайян месозад, ки мардони қадимӣ мебоист «доварӣ»-ро медонистанд. Онҳо мебоист вақти тафаққуди худро медонистанд.</w:t>
      </w:r>
    </w:p>
    <w:p>
      <w:pPr>
        <w:pStyle w:val="ArticleScripture"/>
        <w:jc w:val="left"/>
      </w:pPr>
      <w:r>
        <w:rPr>
          <w:rFonts w:ascii="Times New Roman" w:hAnsi="Times New Roman" w:eastAsia="Times New Roman" w:cs="Times New Roman"/>
        </w:rPr>
        <w:t>Ва ман гуфтам: бишнавед, хоҳишмандам, эй сарварони Яъқуб ва эй мирони хонадони Исроил; оё довариро донистан бар шумо воҷиб нест? Шумо, ки некиро бад мебинед ва бадиро дӯст медоред; ки пӯсти онҳоро аз бари эшон меканед ва гӯшташонро аз устухонҳошон; ки низ гӯшти қавми Маро мехӯред ва пӯсти онҳоро аз бари эшон меканед; ва устухонҳошонро мешиканед ва пора-пора месозед, мисли он чи барои дег омода мекунанд, ва мисли гӯшт даруни деги ҷӯшон. Мико 3:1–3.</w:t>
      </w:r>
    </w:p>
    <w:p>
      <w:pPr>
        <w:pStyle w:val="ArticleBody"/>
        <w:jc w:val="left"/>
      </w:pPr>
      <w:r>
        <w:rPr>
          <w:rFonts w:ascii="Times New Roman" w:hAnsi="Times New Roman" w:eastAsia="Times New Roman" w:cs="Times New Roman"/>
        </w:rPr>
        <w:t>Худо қасд дошт, ва ҳанӯз ҳам қасд дорад, ки қавми Ӯ дар рӯзҳои охир «довариро бидонанд», ва доварӣ мафҳуми ягона нест. Он таърихи тадриҷист, ки чандин унсур ва аломатҳои муайяни хоси худро дорост. Он давраи нубувватист, ки соли 1798 оғоз ёфтааст ва то поёни ҳазорсола идома меёбад. Он ҳам таҳқиқист ва ҳам иҷрошаванда. Он бар ҳар инсон, ки ҳаргиз бар рӯи сайёраи замин зиндагӣ кардааст, ва ҳамчунин бар фариштагоне, ки аз осмон ронда шуданд, анҷом дода мешавад. Давраҳои доварӣ фаҳмиши зарурист барои аминҳои Худо дар рӯзҳои охир, зеро посух ба саволи Мико ин аст: «оре, Исроил бояд довариро дарк намояд».</w:t>
      </w:r>
    </w:p>
    <w:p>
      <w:pPr>
        <w:pStyle w:val="ArticleBody"/>
        <w:jc w:val="left"/>
      </w:pPr>
      <w:r>
        <w:rPr>
          <w:rFonts w:ascii="Times New Roman" w:hAnsi="Times New Roman" w:eastAsia="Times New Roman" w:cs="Times New Roman"/>
        </w:rPr>
        <w:t>Ирмиё муайян мекунад, ки пирони қадимаи Уршалим дар айёми охир анҷоми як «ақибнишинии доимӣ»-ро ифода мекунанд, чунон ки дар чор насли исёни рӯ ба афзоиш муаррифӣ шудааст ва бо чор зиштии рӯ ба шиддат, ки дар боби ҳаштуми Ҳизқиёл рамзгузорӣ шудааст, нишон дода мешавад. Ирмиё муайян мекунад, ки он пирон гирифтори рӯҳгароӣ мебошанд, зеро онҳо «офтоб, моҳ ва тамоми лашкари осмон»-ро «парастиш» мекунанд. Ӯ муайян мекунад, ки онҳо бояд «афтанд ва барнахезанд», зеро «каломи Худовандро рад кардаанд». Бо ин хусусиятҳо Ирмиё муайян мекунад, ки «қавм доварии Худовандро намедонанд».</w:t>
      </w:r>
    </w:p>
    <w:p>
      <w:pPr>
        <w:pStyle w:val="ArticleScripture"/>
        <w:jc w:val="left"/>
      </w:pPr>
      <w:r>
        <w:rPr>
          <w:rFonts w:ascii="Times New Roman" w:hAnsi="Times New Roman" w:eastAsia="Times New Roman" w:cs="Times New Roman"/>
        </w:rPr>
        <w:t>Дар он вақт, мегӯяд Худованд, устухонҳои подшоҳони Яҳудо ва устухонҳои мирони ӯ, ва устухонҳои коҳинон, ва устухонҳои анбиё, ва устухонҳои сокинони Ерусалимро аз қабрҳояшон берун хоҳанд овард; ва онҳоро пеши офтоб ва моҳ ва тамоми лашкари осмон, ки онҳоро дӯст доштаанд, ва ба онҳо хизмат кардаанд, ва аз ақиби онҳо рафтаанд, ва онҳоро ҷустаанд, ва ба онҳо саҷда кардаанд, хоҳанд густурд; онҳо ҷамъ карда нахоҳанд шуд ва дафн карда нахоҳанд шуд; онҳо бар рӯи замин мисли саргин хоҳанд буд. Ва ҳамаи бақияи ин хонадони шарир, ки дар ҳамаи ҷойҳое ки онҳоро ба он ҷо рондаам, боқӣ мондаанд, маргро аз ҳаёт баргузида хоҳанд кард, мегӯяд Худованди лашкарҳо. Ва боз ба онҳо бигӯ: Худованд чунин мегӯяд: Оё афтода, барнахезанд? Оё касе рӯй гардонда, бознагардонад? Пас чаро ин қавми Ерусалим бо ақибгардии доимӣ ақиб рафтааст? Онҳо ба фиреб сахт часпидаанд, аз бозгашт кардан сар метобанд. Ман гӯш додам ва шунидам, вале онҳо дуруст сухан нагуфтанд; ҳеҷ кас аз шарорати худ тавба накард ва нагуфт: «Ман чӣ кардаам?» Ҳар яке ба роҳи худ рӯй овард, мисли аспе ки бо шитоб ба ҷанг медарояд. Ҳатто лаклак дар осмон вақтҳои муқарраршудаи худро медонад; ва ёма ва турна ва парсту вақти омадани худро нигоҳ медоранд; аммо қавми Ман ҳукми Худовандро намедонанд. Чӣ гуна шумо мегӯед: «Мо доно ҳастем, ва шариати Худованд бо мост»? Инак, албатта, онро беҳуда сохтааст; қалами котибон беҳуда аст. Доноён шарманда шудаанд, ба даҳшат афтодаанд ва дастгир шудаанд; инак, онҳо каломи Худовандро рад кардаанд; пас дар онҳо чӣ ҳикматест? Ирмиё 8:1–9.</w:t>
      </w:r>
    </w:p>
    <w:p>
      <w:pPr>
        <w:pStyle w:val="ArticleBody"/>
        <w:jc w:val="left"/>
      </w:pPr>
      <w:r>
        <w:rPr>
          <w:rFonts w:ascii="Times New Roman" w:hAnsi="Times New Roman" w:eastAsia="Times New Roman" w:cs="Times New Roman"/>
        </w:rPr>
        <w:t>Дар боби панҷум, Ирмиё касонеро, ки доварии Худовандро намедонанд, «беақл» меномад.</w:t>
      </w:r>
    </w:p>
    <w:p>
      <w:pPr>
        <w:pStyle w:val="ArticleScripture"/>
        <w:jc w:val="left"/>
      </w:pPr>
      <w:r>
        <w:rPr>
          <w:rFonts w:ascii="Times New Roman" w:hAnsi="Times New Roman" w:eastAsia="Times New Roman" w:cs="Times New Roman"/>
        </w:rPr>
        <w:t>Дар кӯчаҳои Ерусалим ҳар сӯ давед, ва акнун бубинед, ва бидонед, ва дар майдонҳои он ҷустуҷӯ кунед, ки оё мардеро ёфта метавонед, оё касе ҳаст, ки адолатро ба ҷо оварад, ки толиби ростӣ бошад; ва Ман онро хоҳам омурзид. Ва гарчанде мегӯянд: «Ба ҳаёти Худованд!»—яқинан онҳо дурӯғ қасам мехӯранд. Эй Худованд, оё чашмони Ту бар ростӣ нест? Ту онҳоро задаӣ, вале онҳо андӯҳгин нашуданд; Ту онҳоро нобуд сохтаӣ, вале онҳо аз қабул кардани танбеҳ сар печиданд; рӯйҳои худро аз санг сахттар гардониданд; аз бозгашт кардан сарпечӣ карданд. Бинобар ин ман гуфтам: «Яқинан инҳо бенавоянд; онҳо аблаҳанд, зеро роҳи Худованд ва доварии Худои худро намедонанд». Ирмиё 5:1–4.</w:t>
      </w:r>
    </w:p>
    <w:p>
      <w:pPr>
        <w:pStyle w:val="ArticleBody"/>
        <w:jc w:val="left"/>
      </w:pPr>
      <w:r>
        <w:rPr>
          <w:rFonts w:ascii="Times New Roman" w:hAnsi="Times New Roman" w:eastAsia="Times New Roman" w:cs="Times New Roman"/>
        </w:rPr>
        <w:t>Дар айёми охир адвентизми Лаодикиявӣ, ононе ки ҳамчун бокирагони аблаҳи масали даҳ бокира тасвир шудаанд, ки хоҳар Уайт муайян месозад, ки он «таҷрибаи халқи адвентист»-ро ифода мекунад, «роҳи Худовандро ва доварии Худои худро намедонанд». Дар боби баъдӣ Ирмиё муайян мекунад, ки «роҳ»-и Худованд «роҳҳои қадим» аст, аммо адвентистони аблаҳи Лаодикиявӣ аз рафтан дар он ва аз гӯш додан ба садои карнай саркашӣ мекунанд. «Карнай» рамзи доварист, ки, албатта, адвентистони аблаҳи Лаодикиявӣ онро намедонанд.</w:t>
      </w:r>
    </w:p>
    <w:p>
      <w:pPr>
        <w:pStyle w:val="ArticleScripture"/>
        <w:jc w:val="left"/>
      </w:pPr>
      <w:r>
        <w:rPr>
          <w:rFonts w:ascii="Times New Roman" w:hAnsi="Times New Roman" w:eastAsia="Times New Roman" w:cs="Times New Roman"/>
        </w:rPr>
        <w:t>Худованд чунин мегӯяд: «Бар сари роҳҳо биистед, ва бубинед, ва аз роҳҳои қадим бипурсед, ки роҳи нек куҷост, ва дар он роҳ биравед, ва барои ҷонҳои худ осоиш хоҳед ёфт». Вале онҳо гуфтанд: «Дар он нахоҳем рафт». Ҳамчунин бар шумо посбонон баргузоштам, ки мегуфтанд: «Ба садои карнай гӯш диҳед». Вале онҳо гуфтанд: «Гӯш нахоҳем дод». Бинобар ин бишнавед, эй халқҳо, ва бидон, эй ҷамоат, он чиро, ки дар миёни онҳост. Бишнав, эй замин: инак, Ман бар ин қавм бало меоварам, яъне самари андешаҳои онҳоро, зеро ба суханони Ман гӯш надоданд, ва шариати Маро рад карданд. Ирмиё 6:16–19.</w:t>
      </w:r>
    </w:p>
    <w:p>
      <w:pPr>
        <w:pStyle w:val="ArticleBody"/>
        <w:jc w:val="left"/>
      </w:pPr>
      <w:r>
        <w:rPr>
          <w:rFonts w:ascii="Times New Roman" w:hAnsi="Times New Roman" w:eastAsia="Times New Roman" w:cs="Times New Roman"/>
        </w:rPr>
        <w:t>«Бадӣ»-е, ки бар «ҷамоат»-е фуруд оварда мешавад, ки нахост «ба овози карнай гӯш диҳад» ва «дар роҳҳои кӯҳна» «қадам занад», ки дар он ҷо «оромӣ»-и борони охир ёфт мешуд, ҳангоме рӯй медиҳад, ки «ҷамоат» дар қонуни якшанбеи ба зудӣ оянда «шариати Ӯро рад мекунад».</w:t>
      </w:r>
    </w:p>
    <w:p>
      <w:pPr>
        <w:pStyle w:val="ArticleBody"/>
        <w:jc w:val="left"/>
      </w:pPr>
      <w:r>
        <w:rPr>
          <w:rFonts w:ascii="Times New Roman" w:hAnsi="Times New Roman" w:eastAsia="Times New Roman" w:cs="Times New Roman"/>
        </w:rPr>
        <w:t>Татбиқи секаратаи Илёс кори як паёмовар ва ҳаракатеро дар замони доварии иҷроӣ муайян мекунад, ки аз қонуни якшанбеи ба зудӣ фарорасанда оғоз меёбад. Ба татбиқи секаратаи Илёс татбиқи секаратаи он паёмоваре, ки роҳро барои Паёмовари Аҳд омода месозад, зичан алоқаманд аст. Татбиқи секаратаи он паёмоваре, ки роҳро омода месозад, кореро тавассути як паёмовар ва ҳаракате дар замони доварии тафтишотӣ муайян мекунад. Паёмоваре, ки роҳро омода месозад, ва Илёс татбиқҳои секаратаи ба ҳам зич алоқаманд мебошанд; ҳамчунин татбиқи секаратаи Рум бо татбиқи секаратаи суқути Бобил, вале онҳо фарқиятҳои муҳимеро доро мебошанд, ки бо доварии Худо алоқаманданд.</w:t>
      </w:r>
    </w:p>
    <w:p>
      <w:pPr>
        <w:pStyle w:val="ArticleBody"/>
        <w:jc w:val="left"/>
      </w:pPr>
      <w:r>
        <w:rPr>
          <w:rFonts w:ascii="Times New Roman" w:hAnsi="Times New Roman" w:eastAsia="Times New Roman" w:cs="Times New Roman"/>
        </w:rPr>
        <w:t>Се татбиқи Илёс ва се татбиқи пайғамбаре, ки роҳро барои Пайғамбари Аҳд тайёр мекунад, ба ду кори ҷудогонаи доварӣ вобастаанд, ки Худо онҳоро ба воситаи пайғамбари баргузидаи Худ ва ҳаракате, ки ба паёми он пайғамбар мепайвандад, ба анҷом мерасонад. Он ду кор ба ду давраи ҷудогонаи доварӣ марбутанд, гарчанде ки миёни рамзҳо ҳампӯшӣ вуҷуд дорад.</w:t>
      </w:r>
    </w:p>
    <w:p>
      <w:pPr>
        <w:pStyle w:val="ArticleBody"/>
        <w:jc w:val="left"/>
      </w:pPr>
      <w:r>
        <w:rPr>
          <w:rFonts w:ascii="Times New Roman" w:hAnsi="Times New Roman" w:eastAsia="Times New Roman" w:cs="Times New Roman"/>
        </w:rPr>
        <w:t>Кори Илёси сеюм ва охирин ба доварии иҷроии иттиҳоди сегонаи Бобили муосир марбут аст, ва кори фиристодае, ки роҳро тайёр мекунад, ба доварии тафтишотӣ ва поксозии қавми Худо марбут мебошад. Боби сеюми Малокӣ бо ояти охирини боби дуюм оғоз меёбад.</w:t>
      </w:r>
    </w:p>
    <w:p>
      <w:pPr>
        <w:pStyle w:val="ArticleScripture"/>
        <w:jc w:val="left"/>
      </w:pPr>
      <w:r>
        <w:rPr>
          <w:rFonts w:ascii="Times New Roman" w:hAnsi="Times New Roman" w:eastAsia="Times New Roman" w:cs="Times New Roman"/>
        </w:rPr>
        <w:t>Шумо Худовандро бо суханони худ хаста кардаед. Аммо мегӯед: «Бо чӣ Ӯро хаста кардаем?» Вақте ки мегӯед: «Ҳар кӣ бадӣ мекунад, дар назари Худованд некӯст, ва Ӯ аз онҳо хушнуд аст»; ё: «Худои доварӣ куҷост?» Инак, Ман фиристодаи Худро мефиристам, ва ӯ роҳро пеши рӯи Ман муҳайё хоҳад кард; ва Худованд, ки шумо Ӯро металабед, ногаҳон ба маъбади Худ хоҳад омад, яъне Фиристодаи аҳд, ки шумо аз Ӯ хушнудед; инак, Ӯ хоҳад омад, мегӯяд Худованди лашкарҳо. Аммо кист, ки рӯзи омадани Ӯро тоқат карда тавонад? ва кист, ки ҳангоми зоҳир шудани Ӯ устувор биистад? зеро Ӯ мисли оташи заргар ва мисли собуни ҷомашӯён аст. Ва Ӯ хоҳад нишаст, мисли поккунандаи нуқра ва тозакунандаи он; ва писарони Левиро пок хоҳад кард, ва онҳоро мисли тилло ва нуқра соф хоҳад гардонид, то ки онҳо барои Худованд ҳадияе дар росткорӣ тақдим намоянд. Он гоҳ ҳадияи Яҳудо ва Ерусалим ба Худованд писанд хоҳад омад, чунон ки дар рӯзҳои қадим ва мисли солҳои пешин. Малокӣ 2:17–3:4.</w:t>
      </w:r>
    </w:p>
    <w:p>
      <w:pPr>
        <w:pStyle w:val="ArticleBody"/>
        <w:jc w:val="left"/>
      </w:pPr>
      <w:r>
        <w:rPr>
          <w:rFonts w:ascii="Times New Roman" w:hAnsi="Times New Roman" w:eastAsia="Times New Roman" w:cs="Times New Roman"/>
        </w:rPr>
        <w:t>Дар рӯзҳои охир, мувофиқи шаҳодати Малокӣ, Худо аз адвентизми Лоодикия, ки ба исёни соли 1888 мечаспад, хаста шудааст. Исёни соли 1888 ба воситаи исёни Қӯраҳ, Дотон ва Абирам намунавор ифода ёфта буд, ва баҳси таълимотии исёни Қӯраҳ ин буд, ки оё онҳое ки бадӣ мекунанд, ҳанӯз ҳам дар назари Худованд одил ҳастанд ё не.</w:t>
      </w:r>
    </w:p>
    <w:p>
      <w:pPr>
        <w:pStyle w:val="ArticleScripture"/>
        <w:jc w:val="left"/>
      </w:pPr>
      <w:r>
        <w:rPr>
          <w:rFonts w:ascii="Times New Roman" w:hAnsi="Times New Roman" w:eastAsia="Times New Roman" w:cs="Times New Roman"/>
        </w:rPr>
        <w:t>Ва Қӯраҳ, писари Исаҳор, писари Қаҳот, писари Левӣ, ва Дотон ва Абиром, писарони Элиоб, ва Ӯн, писари Паллат, аз писарони Реубен, одамонро бо худ гирифтанд; ва онҳо бо баъзе аз банӣ-Исроил, яъне дусаду панҷоҳ нафар аз сарварони ҷамоат, ки дар миёни ҷамъият номдор ва мардони машҳур буданд, пеши Мусо бархостанд. Ва бар зидди Мусо ва бар зидди Ҳорун ҷамъ шуда, ба онҳо гуфтанд: «Шумо бар худ аз ҳад зиёд мегиред, зеро ки тамоми ҷамоат муқаддасанд, ҳар яке аз онҳо, ва Худованд дар миёни онҳост; пас чаро худро аз ҷамоати Худованд боло мебардоред?» Ададҳо 16:1–3.</w:t>
      </w:r>
    </w:p>
    <w:p>
      <w:pPr>
        <w:pStyle w:val="ArticleBody"/>
        <w:jc w:val="left"/>
      </w:pPr>
      <w:r>
        <w:rPr>
          <w:rFonts w:ascii="Times New Roman" w:hAnsi="Times New Roman" w:eastAsia="Times New Roman" w:cs="Times New Roman"/>
        </w:rPr>
        <w:t>Дар рӯзҳои охир, Худо аз адвентизми Лаодикия, ки ба исёни соли 1957 мечаспад, хаста шудааст; исёне ки танҳо зуҳури исёни соли 1888 мебошад, ки ба як баёнияи расмӣ дароварда шудааст. Китоби Questions on Doctrine исёни соли 1888-ро тақдису таҳким бахшид, ки он такрори исёни Қӯраҳ, Дотон ва Абиром буд, мувофиқи шаҳодати фариштае, ки ба хоҳар Уайт дастур дод, ки ӯ бояд дар конфронси соли 1888 бимонад, то такрор шудани таърихи исёни Қӯраҳро сабт намояд. Ду саду панҷоҳ марди номдор ҳамроҳ бо Қӯраҳ, Дотон ва Абиром бар зидди Мусо, намояндаи Худо, дар он исён ҷамъ омада буданд.</w:t>
      </w:r>
    </w:p>
    <w:p>
      <w:pPr>
        <w:pStyle w:val="ArticleBody"/>
        <w:jc w:val="left"/>
      </w:pPr>
      <w:r>
        <w:rPr>
          <w:rFonts w:ascii="Times New Roman" w:hAnsi="Times New Roman" w:eastAsia="Times New Roman" w:cs="Times New Roman"/>
        </w:rPr>
        <w:t>Бисту панҷ марде, ки дар боби ҳаштуми Ҳизқиёл ба офтоб саҷда мекунанд, даҳяк, ё як қисми даҳ аз он дусаду панҷоҳ марде мебошанд, ки дар исёни Қӯраҳ, Дотон ва Абиром бухур тақдим карданд; онҳо намунаи пешвоёни исёни соли 1888 буданд, ки исёни таълимотии онҳо дар соли 1957, бо интишори китоби *Questions on Doctrine*, расмият дода шуд.</w:t>
      </w:r>
    </w:p>
    <w:p>
      <w:pPr>
        <w:pStyle w:val="ArticleBody"/>
        <w:jc w:val="left"/>
      </w:pPr>
      <w:r>
        <w:rPr>
          <w:rFonts w:ascii="Times New Roman" w:hAnsi="Times New Roman" w:eastAsia="Times New Roman" w:cs="Times New Roman"/>
        </w:rPr>
        <w:t>Шӯриши Қӯраҳ, Дотон ва Абиром «ҳукмеро», ки Худо содир намуда буд ва бар тибқи он онҳоро ба саргардонӣ дар биёбон ба муддати чил сол маҳкум карда буд, рад кард. Адвентизми Лоудиқия аз соли 1863, пас аз он ки паёми Лоудиқияро, ки дар соли 1856 пешниҳод шуда буд, рад намуданд, ба саргардонӣ дар биёбони Лоудиқия оғоз кард; ва ин боиси ҳукми саргардонӣ дар биёбон барои солҳои бисёре дигар шуд, аз сабаби камии имони онҳо. Дар шӯриши соли 1888 онҳо ҳанӯз ҳам омода набуданд, ки паёми Лоудиқияро, ки аз ҷониби пирон Ҷонс ва Ваггонер оварда шуда буд, бипазиранд.</w:t>
      </w:r>
    </w:p>
    <w:p>
      <w:pPr>
        <w:pStyle w:val="ArticleBody"/>
        <w:jc w:val="left"/>
      </w:pPr>
      <w:r>
        <w:rPr>
          <w:rFonts w:ascii="Times New Roman" w:hAnsi="Times New Roman" w:eastAsia="Times New Roman" w:cs="Times New Roman"/>
        </w:rPr>
        <w:t>Онҳое ки соли 1888 исён карданд, на танҳо ҳокимияти рӯҳонии пирон Ҷонс ва Ваггонерро рад намуданд, балки ҳокимияти пайғамбарзан Эллен Уайт ва низ ҳокимияти Рӯҳулқудсро ҳам, зеро онҳо он андешаро дар амал татбиқ карданд, ки тамоми ҷамоат баробар муқаддас аст.</w:t>
      </w:r>
    </w:p>
    <w:p>
      <w:pPr>
        <w:pStyle w:val="ArticleBody"/>
        <w:jc w:val="left"/>
      </w:pPr>
      <w:r>
        <w:rPr>
          <w:rFonts w:ascii="Times New Roman" w:hAnsi="Times New Roman" w:eastAsia="Times New Roman" w:cs="Times New Roman"/>
        </w:rPr>
        <w:t>Дар соли 1863 онҳо бозгашта буданд, то бо пайғамбари дурӯғини Байт-Ил ҳамдастурхон шаванд, ва бо ин амал онҳо дар ниҳоят таърифи наҷотеро, ки бо исёни Қӯраҳ ифода меёфт, пазируфтанд, ва сипас он таълимоти ботилро дар китоби, Questions on Doctrine, ба таври расмӣ сабт ва тақдис карданд. Он таълимот таърифи бардурӯғи «сафедшавӣ ба воситаи имон» мебошад.</w:t>
      </w:r>
    </w:p>
    <w:p>
      <w:pPr>
        <w:pStyle w:val="ArticleBody"/>
        <w:jc w:val="left"/>
      </w:pPr>
      <w:r>
        <w:rPr>
          <w:rFonts w:ascii="Times New Roman" w:hAnsi="Times New Roman" w:eastAsia="Times New Roman" w:cs="Times New Roman"/>
        </w:rPr>
        <w:t>Шӯриши соли 1863 оғози рад кардани ҷавоҳироти Миллер буд, ки бар ду лавҳи Ҳабаққуқ инъикос ёфта буданд. Дар боби дуюми Ҳабаққуқ, «баҳс»-и ояти аввал дар ниҳоят ду табақаи ибодаткунандагонро ба вуҷуд меорад, ки ба сабаби норозигии худ нисбат ба паёме, ки таъхир кард, зоҳир мегарданд.</w:t>
      </w:r>
    </w:p>
    <w:p>
      <w:pPr>
        <w:pStyle w:val="ArticleScripture"/>
        <w:jc w:val="left"/>
      </w:pPr>
      <w:r>
        <w:rPr>
          <w:rFonts w:ascii="Times New Roman" w:hAnsi="Times New Roman" w:eastAsia="Times New Roman" w:cs="Times New Roman"/>
        </w:rPr>
        <w:t>Инак, ҷоне ки мағрур гардидааст, дар ӯ рост нест; аммо одил бо имони худ зиндагӣ хоҳад кард. Ҳабаққуқ 2:4.</w:t>
      </w:r>
    </w:p>
    <w:p>
      <w:pPr>
        <w:pStyle w:val="ArticleBody"/>
        <w:jc w:val="left"/>
      </w:pPr>
      <w:r>
        <w:rPr>
          <w:rFonts w:ascii="Times New Roman" w:hAnsi="Times New Roman" w:eastAsia="Times New Roman" w:cs="Times New Roman"/>
        </w:rPr>
        <w:t>«имон»-и «одилон» дар «баҳс»-и боби дуюми Ҳабаққуқ бар «рӯъё»-е асос ёфта буд, ки бар лавҳаҳо ба таври равшан навишта шуда буд. Дар исёни соли 1863, қадами нахустин барои бардоштани он чи бар лавҳаҳо навишта шуда буд, аз ҷониби касоне анҷом ёфт, ки дигар имони «одилон»-ро надоштанд. Исёни соли 1863 тухми аввали он исёнро намояндагӣ мекард, ки дар ниҳоят дар соли 1957 таърифи бардурӯғи таълимоти сафедшавӣ ба воситаи имонро расман муқаррар менамуд.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«Худованд дар марҳамати бузурги Худ паёме бисёр гаронбаҳоеро ба қавми Худ ба воситаи Пирон Ваггонер ва Ҷонс фиристод. Ин паём мебоист Наҷотдиҳандаи бардошташударо, яъне қурбонӣ барои гуноҳҳои тамоми ҷаҳонро, ба таври равшантар пеши назари ҷаҳон оварад. Он сафедшавиро ба воситаи имон ба Кафил пешниҳод мекард; он мардумро даъват менамуд, ки адолати Масеҳро қабул кунанд, ки дар итоат ба ҳамаи аҳкоми Худо зоҳир мегардад. Бисёре Исоиро аз назар дур карда буданд. Ба онҳо лозим буд, ки чашмонашон ба сӯи Шахсияти илоҳии Ӯ, шоистагиҳои Ӯ ва муҳаббати тағйирнопазири Ӯ нисбат ба хонаводаи башар равона карда шавад. Ҳама қудрат ба дасти Ӯ дода шудааст, то Ӯ атоҳои фаровонро ба одамон бидиҳад ва бахшоиши бебаҳои адолати Худро ба омили оҷизи инсонӣ ато намояд. Ин ҳамон паёмест, ки Худо амр фармуд, то ба ҷаҳон дода шавад. Ин паёми фариштаи сеюм аст, ки бояд бо овози баланд эълон карда шавад ва бо рехтани Рӯҳи Ӯ ба андозаи фаровон ҳамроҳ бошад». Testimonies to Ministers, 91.</w:t>
      </w:r>
    </w:p>
    <w:p>
      <w:pPr>
        <w:pStyle w:val="ArticleScripture"/>
        <w:jc w:val="left"/>
      </w:pPr>
      <w:r>
        <w:rPr>
          <w:rFonts w:ascii="Times New Roman" w:hAnsi="Times New Roman" w:eastAsia="Times New Roman" w:cs="Times New Roman"/>
        </w:rPr>
        <w:t>«Ҳақиқат барои ҳамин замон, паёми фариштаи сеюм, бояд бо овози баланд эълон карда шавад», яъне бо қудрати рӯ ба афзоиш, ҳар қадар ки мо ба озмоиши бузурги ниҳоӣ наздик мешавем. The 1888 Materials, 1710.</w:t>
      </w:r>
    </w:p>
    <w:p>
      <w:pPr>
        <w:pStyle w:val="ArticleScripture"/>
        <w:jc w:val="left"/>
      </w:pPr>
      <w:r>
        <w:rPr>
          <w:rFonts w:ascii="Times New Roman" w:hAnsi="Times New Roman" w:eastAsia="Times New Roman" w:cs="Times New Roman"/>
        </w:rPr>
        <w:t>«Вақти озмоиш акнун бар сари мост, зеро нидои баландии фариштаи сеюм аллакай дар ошкоршавии адолати Масеҳ, Наҷотдиҳандаи гуноҳбахш, оғоз ёфтааст. Ин оғози нури он фаришта аст, ки ҷалоли ӯ тамоми заминро пур хоҳад кард». Selected Messages, book 1, 362.</w:t>
      </w:r>
    </w:p>
    <w:p>
      <w:pPr>
        <w:pStyle w:val="ArticleScripture"/>
        <w:jc w:val="left"/>
      </w:pPr>
      <w:r>
        <w:rPr>
          <w:rFonts w:ascii="Times New Roman" w:hAnsi="Times New Roman" w:eastAsia="Times New Roman" w:cs="Times New Roman"/>
        </w:rPr>
        <w:t>«Борони дерин бояд бар халқи Худо фуруд ояд. Фариштаи қудратманде бояд аз осмон нозил шавад, ва тамоми замин аз ҷалоли ӯ мунаввар гардад». Review and Herald, April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 нӯҳ</dc:title>
  <dc:subject>Рӯзҳои охир ва доварии Худо: ошкор сохтани даркҳои нубувватӣ</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