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Илёс — рақами нӯҳ</w:t>
      </w:r>
    </w:p>
    <w:p>
      <w:pPr>
        <w:pStyle w:val="ArticleSubtitle"/>
        <w:jc w:val="left"/>
      </w:pPr>
      <w:r>
        <w:rPr>
          <w:rFonts w:ascii="Arial" w:hAnsi="Arial" w:eastAsia="Arial" w:cs="Arial"/>
        </w:rPr>
        <w:t>Пайғамбар дурӯғ гуфт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2023-10-11</w:t>
      </w:r>
    </w:p>
    <w:p>
      <w:pPr>
        <w:pStyle w:val="ArticleBody"/>
        <w:jc w:val="left"/>
      </w:pPr>
      <w:r>
        <w:rPr>
          <w:rFonts w:ascii="Times New Roman" w:hAnsi="Times New Roman" w:eastAsia="Times New Roman" w:cs="Times New Roman"/>
        </w:rPr>
        <w:t>Мо мақолаи охиринро бо порчае ба анҷом расондем, ки дар бораи «рӯҳи дурӯғгӯ» сухан меронад. Матни зерин яке аз бандҳои ҳамон порча мебошад.</w:t>
      </w:r>
    </w:p>
    <w:p>
      <w:pPr>
        <w:pStyle w:val="ArticleScripture"/>
        <w:jc w:val="left"/>
      </w:pPr>
      <w:r>
        <w:rPr>
          <w:rFonts w:ascii="Times New Roman" w:hAnsi="Times New Roman" w:eastAsia="Times New Roman" w:cs="Times New Roman"/>
        </w:rPr>
        <w:t>«Хизматгузорони тақдиснаёфта худро бар зидди Худо саф меороянд. Онҳо Масеҳ ва худои ин ҷаҳонро дар як нафас ситоиш мекунанд. Ҳарчанд ба зоҳир эътироф мекунанд, ки Масеҳро мепазиранд, онҳо Бараббосро дар оғӯш мегиранд ва бо амалҳои худ мегӯянд: “На Ин Одам, балки Бараббос”. Бигзор ҳар кӣ ин сатрҳоро мехонад, ҳушёр бошад. Шайтон ба он чи карда метавонад, фахр кардааст. Ӯ гумон мекунад, ки метавонад он ягонагиро, ки Масеҳ дуо карда буд дар калисои Ӯ мавҷуд бошад, барҳам диҳад. Ӯ мегӯяд: “Ман берун хоҳам рафт ва рӯҳи дурӯғ хоҳам шуд, то ҳар киро тавонам, фиреб диҳам, ба айбҷӯӣ ва маҳкум кардан ва таҳриф кардан водор намоям”. Бигзор писари фиреб ва шоҳиди козиб аз ҷониби калисое пазируфта шавад, ки нури бузург, далелҳои бузург доштааст, ва он калисо паёмеро, ки Худованд фиристодааст, рад хоҳад кард ва беасостарин иддаоҳо ва фарзияҳои дурӯғин ва назарияҳои ботилро хоҳад пазируфт. Шайтон аз ҳамоқати онҳо механдад, зеро ӯ медонад, ки ҳақиқат чист». Testimonies to Ministers, 409.</w:t>
      </w:r>
    </w:p>
    <w:p>
      <w:pPr>
        <w:pStyle w:val="ArticleBody"/>
        <w:jc w:val="left"/>
      </w:pPr>
      <w:r>
        <w:rPr>
          <w:rFonts w:ascii="Times New Roman" w:hAnsi="Times New Roman" w:eastAsia="Times New Roman" w:cs="Times New Roman"/>
        </w:rPr>
        <w:t>Бигзор «писари фиреб ва шоҳиди дурӯғинро калисое, ки нури бузург ва далели бузург доштааст, бипазирад, ва он калисо паёмеро, ки Худованд фиристодааст, рад хоҳад кард ва даъвоҳои тамоман беасос, фарзияҳои дурӯғин ва назарияҳои ботилро қабул хоҳад намуд». Дар соли 1863, адвентизми миллерӣ ба усулшиносии беасос ва ботиле, ки протестантизми муртад ба кор бурда буд, «бозгашт» кард ва таъйини Уилям Миллерро дар бораи ҳафт замони Левиён бисту шаш рад намуд. Мавзӯи «бозгаштан» ба воситаи ошӯбгарон дар Ададҳо чордаҳ тасвир шудааст, вақте ки онҳо қарор карданд сарваре интихоб намоянд ва ба Миср бозгарданд.</w:t>
      </w:r>
    </w:p>
    <w:p>
      <w:pPr>
        <w:pStyle w:val="ArticleScripture"/>
        <w:jc w:val="left"/>
      </w:pPr>
      <w:r>
        <w:rPr>
          <w:rFonts w:ascii="Times New Roman" w:hAnsi="Times New Roman" w:eastAsia="Times New Roman" w:cs="Times New Roman"/>
        </w:rPr>
        <w:t>Ва онҳо ба якдигар гуфтанд: «Биёед барои худ сарваре таъйин кунем ва ба Миср бозгардем». Ададҳо 14:4.</w:t>
      </w:r>
    </w:p>
    <w:p>
      <w:pPr>
        <w:pStyle w:val="ArticleBody"/>
        <w:jc w:val="left"/>
      </w:pPr>
      <w:r>
        <w:rPr>
          <w:rFonts w:ascii="Times New Roman" w:hAnsi="Times New Roman" w:eastAsia="Times New Roman" w:cs="Times New Roman"/>
        </w:rPr>
        <w:t>Мавзӯи «бозгаштан» ба протестантизми муртад низ аз ҷониби Ирмиё тасвир шудааст, ҳангоме ки дар боби понздаҳум ба ӯ гуфта шуд, ки протестантҳои суқуткарда метавонанд назди ӯ бозгарданд, аммо ӯ набояд ба назди онҳо «бозгардад».</w:t>
      </w:r>
    </w:p>
    <w:p>
      <w:pPr>
        <w:pStyle w:val="ArticleScripture"/>
        <w:jc w:val="left"/>
      </w:pPr>
      <w:r>
        <w:rPr>
          <w:rFonts w:ascii="Times New Roman" w:hAnsi="Times New Roman" w:eastAsia="Times New Roman" w:cs="Times New Roman"/>
        </w:rPr>
        <w:t>Ман дар маҷлиси масхаракунандагон нанишастам ва шодӣ накардам; ман танҳо нишастам аз боиси дасти Ту, зеро ки Ту маро аз ғазаб пур кардӣ. Чаро дарди ман доимист, ва ҷароҳати ман табобатнопазир аст, ки шифо ёфтан намехоҳад? Оё Ту барои ман тамоман мисли дурӯғ хоҳӣ буд, ва мисли обҳое ки хушк мешаванд? Бинобар ин, чунин мегӯяд Худованд: «Агар бозгашт намоӣ, Ман туро боз хоҳам овард, ва ту пеши Ман хоҳӣ истод; ва агар гаронбаҳоро аз палид ҷудо кунӣ, ту мисли даҳони Ман хоҳӣ буд; бигзор онҳо сӯи ту бозгарданд, аммо ту сӯи онҳо бознагард. Ва Ман туро барои ин қавм девори мисини мустаҳкам хоҳам сохт; ва онҳо бар зидди ту ҷанг хоҳанд кард, аммо бар ту ғолиб нахоҳанд шуд, зеро ки Ман бо ту ҳастам, то туро наҷот диҳам ва халос кунам», мегӯяд Худованд. Ирмиё 15:17–20.</w:t>
      </w:r>
    </w:p>
    <w:p>
      <w:pPr>
        <w:pStyle w:val="ArticleBody"/>
        <w:jc w:val="left"/>
      </w:pPr>
      <w:r>
        <w:rPr>
          <w:rFonts w:ascii="Times New Roman" w:hAnsi="Times New Roman" w:eastAsia="Times New Roman" w:cs="Times New Roman"/>
        </w:rPr>
        <w:t>Эҳтимол равшантарин тасвири пешгӯёнаи усули бознагаштан ба протестантизми муртад дар саргузашти пайғамбари нофармон дида мешавад, ки паёми сарзанишро ба Ирбоъом, нахустин подшоҳи даҳ сибти шимолӣ, расонид.</w:t>
      </w:r>
    </w:p>
    <w:p>
      <w:pPr>
        <w:pStyle w:val="ArticleScripture"/>
        <w:jc w:val="left"/>
      </w:pPr>
      <w:r>
        <w:rPr>
          <w:rFonts w:ascii="Times New Roman" w:hAnsi="Times New Roman" w:eastAsia="Times New Roman" w:cs="Times New Roman"/>
        </w:rPr>
        <w:t>Ва подшоҳ ба марди Худо гуфт: «Бо ман ба хона биё ва худро қувват деҳ, ва ман ба ту мукофоте хоҳам дод». Ва марди Худо ба подшоҳ гуфт: «Агар нисфи хонаи худро ба ман бидиҳӣ ҳам, бо ту дохил нахоҳам шуд, ва дар ин ҷо на нон хоҳам хӯрд ва на об хоҳам нӯшид; зеро ба воситаи каломи Худованд ба ман чунин амр шудааст, ки: нон махӯр, об манӯш, ва аз ҳамон роҳе ки омадаӣ, бознагард». Пас ӯ аз роҳи дигаре рафт ва аз он роҳе ки ба Байт-Ил омада буд, барнагашт. 3 Подшоҳон 13:7–10.</w:t>
      </w:r>
    </w:p>
    <w:p>
      <w:pPr>
        <w:pStyle w:val="ArticleBody"/>
        <w:jc w:val="left"/>
      </w:pPr>
      <w:r>
        <w:rPr>
          <w:rFonts w:ascii="Times New Roman" w:hAnsi="Times New Roman" w:eastAsia="Times New Roman" w:cs="Times New Roman"/>
        </w:rPr>
        <w:t>Паёмбари нофармон аз ҷониби Худо огоҳ карда шуда буд, ки аз ҳамон роҳе, ки омада буд, барнагардад. Адвентизми Миллерӣ аз протестантизм, ки бо Сардис ифода шудааст, берун омада буд, ва онҳо набояд бозпас мегаштанд. Ҳарчанд паёмбари нофармон хуб медонист, ки набояд аз ҳамон роҳе, ки омада буд, баргардад, як паёмбари козиб аз подшоҳии Ёробъом ба ӯ гуфт, ки Худо гуфтааст, паёмбари нофармон бояд ба хонаи он паёмбари козиб баргардад ва бо ӯ хӯрок бихӯрад. Бар хилофи роҳнамоии Худо, ӯ айнан ҳамин корро кард. Ҳамин ки ӯ ба хӯрдани ғизои паёмбари козиб оғоз кард, Китоби Муқаддас ба равшанӣ мегӯяд, ки паёмбари Сомария дурӯғ гуфта буд.</w:t>
      </w:r>
    </w:p>
    <w:p>
      <w:pPr>
        <w:pStyle w:val="ArticleScripture"/>
        <w:jc w:val="left"/>
      </w:pPr>
      <w:r>
        <w:rPr>
          <w:rFonts w:ascii="Times New Roman" w:hAnsi="Times New Roman" w:eastAsia="Times New Roman" w:cs="Times New Roman"/>
        </w:rPr>
        <w:t>Ва дар Байт-Ил пайғамбари пире сокин буд; ва писаронаш омада, ҳамаи корҳоеро, ки он рӯзи марди Худо дар Байт-Ил карда буд, ба ӯ нақл карданд; ва суханонеро низ, ки ӯ ба подшоҳ гуфта буд, ба падарашон хабар доданд. Ва падарашон ба онҳо гуфт: «Ӯ аз кадом роҳ рафт?» Зеро писаронаш дида буданд, ки он марди Худо, ки аз Яҳудо омада буд, аз кадом роҳ рафтааст. Ва ӯ ба писаронаш гуфт: «Харро барои ман зин кунед». Пас онҳо харро барои ӯ зин карданд, ва ӯ бар он савор шуд, ва аз паси марди Худо рафт, ва ӯро дид, ки зери булуте нишастааст; ва ба ӯ гуфт: «Оё ту ҳамон марди Худоӣ, ки аз Яҳудо омадаӣ?» Ва ӯ гуфт: «Ман ҳастам». Он гоҳ ба ӯ гуфт: «Бо ман ба хона биё ва нон бихӯр». Ва ӯ гуфт: «Ман наметавонам бо ту баргардам ва бо ту дохил шавам; ва дар ин ҷо бо ту на нон хоҳам хӯрд ва на об хоҳам нӯшид; зеро бо каломи Худованд ба ман гуфта шуд: “Дар он ҷо нон махӯр ва об манӯш, ва аз ҳамон роҳе, ки омадаӣ, боз нагард.”» Ӯ ба вай гуфт: «Ман низ мисли ту пайғамбар ҳастам; ва фариштае бо каломи Худованд ба ман сухан гуфта, гуфтааст: “Ӯро бо худ ба хонаат баргардон, то нон бихӯрад ва об бинӯшад.”» Аммо ӯ ба вай дурӯғ гуфт. Пас ӯ бо вай баргашт, ва дар хонаи ӯ нон хӯрд ва об нӯшид. 3 Подшоҳон 13:11–19.</w:t>
      </w:r>
    </w:p>
    <w:p>
      <w:pPr>
        <w:pStyle w:val="ArticleBody"/>
        <w:jc w:val="left"/>
      </w:pPr>
      <w:r>
        <w:rPr>
          <w:rFonts w:ascii="Times New Roman" w:hAnsi="Times New Roman" w:eastAsia="Times New Roman" w:cs="Times New Roman"/>
        </w:rPr>
        <w:t>Пайғамбари беитоат бо пайғамбари дурӯғгӯи Сомария хӯрд ва нӯшид, яъне ӯ паёми як пайғамбари муртадро пазируфт ва паёми Худовандро рад кард; ҳамон паёмеро, ки худи ӯ дар ҳамон рӯз бо вафодорӣ расонида буд. Ӯ ба хубӣ медонист, ки набояд бозгардад, вале ба ҳар ҳол чунин кард. Хоҳар Уайт ба мо хабар медиҳад, ки агар «писари макр ва шаҳодати дурӯғ аз ҷониби калисое, ки нури бузург, далели бузург доштааст, пазируфта шавад, он калисо паёмеро, ки Худованд фиристодааст, рад хоҳад кард». Дар таърихи миллерӣ фариштаи аввал заминро бо ҷалоли худ равшан карда буд. Дар соли 1840, паёми фариштаи аввал ба ҳар истгоҳи миссионерӣ дар ҷаҳон бурда шуд.</w:t>
      </w:r>
    </w:p>
    <w:p>
      <w:pPr>
        <w:pStyle w:val="ArticleScripture"/>
        <w:jc w:val="left"/>
      </w:pPr>
      <w:r>
        <w:rPr>
          <w:rFonts w:ascii="Times New Roman" w:hAnsi="Times New Roman" w:eastAsia="Times New Roman" w:cs="Times New Roman"/>
        </w:rPr>
        <w:t>«Хабари ба наздикӣ омадани Худованд ба ҷаҳони мо бо қудрат ва ҷалоли бузург ҳақиқат аст, ва дар соли 1840 овозҳои бисёре барои эълони он баланд гардиданд». Manuscript Releases, ҷилди 9, 134.</w:t>
      </w:r>
    </w:p>
    <w:p>
      <w:pPr>
        <w:pStyle w:val="ArticleBody"/>
        <w:jc w:val="left"/>
      </w:pPr>
      <w:r>
        <w:rPr>
          <w:rFonts w:ascii="Times New Roman" w:hAnsi="Times New Roman" w:eastAsia="Times New Roman" w:cs="Times New Roman"/>
        </w:rPr>
        <w:t>Дере нагузашта, адвентизми миллерӣ ба «дурӯғ»-и усули протестантизми муртад бозгашт ва «паёми Худованд»-ро, ки Худо ба воситаи Вилям Миллер фиристода буд, канор гузошт. Онҳо паёми Мӯсоро, ки аз ҷониби Илёс пешниҳод гардида буд, рад карданд; ва «дурӯғ»-е, ки дар оғози таърихи миллерӣ пазируфта шуд, ҳамон «дурӯғ»-ест, ки дар анҷом ба он имон оварда мешавад; ҳамон «дурӯғ», ки бар адвентизми лодикиявӣ фиреби сахт меоварад.</w:t>
      </w:r>
    </w:p>
    <w:p>
      <w:pPr>
        <w:pStyle w:val="ArticleScripture"/>
        <w:jc w:val="left"/>
      </w:pPr>
      <w:r>
        <w:rPr>
          <w:rFonts w:ascii="Times New Roman" w:hAnsi="Times New Roman" w:eastAsia="Times New Roman" w:cs="Times New Roman"/>
        </w:rPr>
        <w:t>Ва бо ҳар навъ фиреби ноинсофӣ дар онҳое ки ҳалок мешаванд; зеро муҳаббати ростиро барои он қабул накарданд, то наҷот ёбанд. Ва барои ҳамин Худо ба онҳо гумроҳии сахт хоҳад фиристод, то ки ба дурӯғ имон оваранд; то ҳамаи онҳое ки ба ростӣ имон наоварданд, балки аз ноинсофӣ лаззат бурданд, маҳкум гарданд. 2 Таслӯникиён 2:10–12.</w:t>
      </w:r>
    </w:p>
    <w:p>
      <w:pPr>
        <w:pStyle w:val="ArticleBody"/>
        <w:jc w:val="left"/>
      </w:pPr>
      <w:r>
        <w:rPr>
          <w:rFonts w:ascii="Times New Roman" w:hAnsi="Times New Roman" w:eastAsia="Times New Roman" w:cs="Times New Roman"/>
        </w:rPr>
        <w:t>Мо кӯшиш дорем нақши Илёсро ҳамчун рамз дар иртибот бо таърихҳои мутавозии шохи протестантизм ва шохи ҷумҳурихоҳӣ дар даврае, ки подшоҳии шашуми пешгӯии Китоби Муқаддас ҳукмронӣ мекунад, нишон диҳем. Душвории ба таври пешгӯёна ба ҳам овардани ҳамаи масъалаҳои соли 1863, ҳадди ақал барои ман, дар хатҳои гуногуни ба ҳам вобастаест, ки ба мафҳуми «мантиқи гирдогирд» наздик мешаванд. Мантиқи росту рӯшан ҳамеша беҳтарин равиш аст, аммо муайян кардани ҳақоиқи илоҳӣ ва муносибатҳои он ҳақоиқ бо якдигар кори душвор аст, зеро онҳо дар Китоби Муқаддас «каме дар ин ҷо ва каме дар он ҷо» ёфт мешаванд.</w:t>
      </w:r>
    </w:p>
    <w:p>
      <w:pPr>
        <w:pStyle w:val="ArticleScripture"/>
        <w:jc w:val="left"/>
      </w:pPr>
      <w:r>
        <w:rPr>
          <w:rFonts w:ascii="Times New Roman" w:hAnsi="Times New Roman" w:eastAsia="Times New Roman" w:cs="Times New Roman"/>
        </w:rPr>
        <w:t>Ӯ донишро ба кӣ таълим хоҳад дод? Ва таълимотро ба кӣ хоҳад фаҳмонд? Ба онҳое ки аз шир ҷудо шудаанд ва аз пистонҳо дур карда шудаанд. Зеро фармун бояд бар фармун бошад, фармун бар фармун; сатр бар сатр, сатр бар сатр; андаке ин ҷо ва андаке он ҷо. Ишаъё 28:9, 10.</w:t>
      </w:r>
    </w:p>
    <w:p>
      <w:pPr>
        <w:pStyle w:val="ArticleBody"/>
        <w:jc w:val="left"/>
      </w:pPr>
      <w:r>
        <w:rPr>
          <w:rFonts w:ascii="Times New Roman" w:hAnsi="Times New Roman" w:eastAsia="Times New Roman" w:cs="Times New Roman"/>
        </w:rPr>
        <w:t>Инчунин, он ҳангоме кори душвор аст, ки шунавандагони мақсади шумо аз касоне иборат бошанд, ки бо ҳақиқатҳое, ки шумо ба онҳо мепардозед, ошноянд, вале дигарон нисбат ба ҳамаи ин нав мебошанд. Қариб ҳамаи ҳақиқатҳое, ки ман дар назар дорам дар ин мақола шарҳи умумии онҳоро пешниҳод намоям, дар Лавҳаҳои Ҳабаққуқ ёфтан мумкин аст. Аз тарси он ки мабодо чунин садо диҳад, ки гӯё ман аз «мантиқи даврӣ» истифода мебарам, мехоҳам пеш аз он ки воқеан ба он ҷо бирасем, ба шумо бигӯям, ки мо ба куҷо меравем.</w:t>
      </w:r>
    </w:p>
    <w:p>
      <w:pPr>
        <w:pStyle w:val="ArticleBody"/>
        <w:jc w:val="left"/>
      </w:pPr>
      <w:r>
        <w:rPr>
          <w:rFonts w:ascii="Times New Roman" w:hAnsi="Times New Roman" w:eastAsia="Times New Roman" w:cs="Times New Roman"/>
        </w:rPr>
        <w:t>Соли 1863, Адвентизми миллеритии Лаодиқия сурати рашкро барпо кард. Сурати рашк нахустини чаҳор насли Адвентизми Лаодиқияро ифода мекунад.</w:t>
      </w:r>
    </w:p>
    <w:p>
      <w:pPr>
        <w:pStyle w:val="ArticleScripture"/>
        <w:jc w:val="left"/>
      </w:pPr>
      <w:r>
        <w:rPr>
          <w:rFonts w:ascii="Times New Roman" w:hAnsi="Times New Roman" w:eastAsia="Times New Roman" w:cs="Times New Roman"/>
        </w:rPr>
        <w:t>Пас ба ман гуфт: «Эй писари одам, акнун чашмони худро ба сӯи шимол бардор». Ва ман чашмони худро ба сӯи шимол бардоштам, ва инак, аз ҷониби шимол, назди дарвозаи қурбонгоҳ, ҳамин сурати рашк дар даромадгоҳ буд. Ҳизқиёл 8:5.</w:t>
      </w:r>
    </w:p>
    <w:p>
      <w:pPr>
        <w:pStyle w:val="ArticleBody"/>
        <w:jc w:val="left"/>
      </w:pPr>
      <w:r>
        <w:rPr>
          <w:rFonts w:ascii="Times New Roman" w:hAnsi="Times New Roman" w:eastAsia="Times New Roman" w:cs="Times New Roman"/>
        </w:rPr>
        <w:t>Чор насли калисои Адвентистҳои Рӯзи Ҳафтум дар порчаҳои гуногуни Навиштаҳо муаррифӣ шудаанд, вале ман Ҳизқиёл ҳаштро ҳамчун нуқтаи асосии истинод ба кор мебарам. Сабаби ин дар он аст, ки боби ҳашт ба боби нӯҳ мегузарад. Дар Ҳизқиёл нӯҳ, муҳргузории яксаду чилу чаҳор ҳазор ба таври тасвирӣ нишон дода шудааст, ва дар «Шаҳодатҳо», ҷилди панҷум, Хоҳар Уайт ин воқеиятро ба таври равшан муайян мекунад. Дар шарҳҳои Хоҳар Уайт, ӯ ба таври равшан дар бораи ду табақаи парастишкунандагон дар Уршалим сухан мегӯяд, вақте ки муҳргузорӣ ба амал меояд. Ҳизқиёл низ ҳамин корро мекунад, ва табақае ки муҳрро намегирад, дар боби ҳашт муаррифӣ шудааст.</w:t>
      </w:r>
    </w:p>
    <w:p>
      <w:pPr>
        <w:pStyle w:val="ArticleScripture"/>
        <w:jc w:val="left"/>
      </w:pPr>
      <w:r>
        <w:rPr>
          <w:rFonts w:ascii="Times New Roman" w:hAnsi="Times New Roman" w:eastAsia="Times New Roman" w:cs="Times New Roman"/>
        </w:rPr>
        <w:t>«Он табақае, ки аз заволи рӯҳонии худ ғамгин намешаванд ва бар гуноҳони дигарон мотам намегиранд, бе муҳри Худо гузошта хоҳанд шуд. Худованд фиристодагони Худро, он мардонеро, ки дар дастҳояшон аслиҳаи қатл доранд, чунин амр медиҳад: “Аз паси ӯ аз миёни шаҳр бигузаред ва бикушед; чашми шумо дареғ надорад, ва раҳм накунед: пирону ҷавонон, ҳам духтарон, ҳам кӯдакони хурдсол, ва ҳам занонро тамоман бикушед; вале ба ҳеҷ касе, ки бар ӯ аломат аст, наздик нашавед; ва аз муқаддасгоҳи Ман оғоз кунед. Пас онҳо аз пирони солхӯрдае, ки пеши хона буданд, оғоз карданд.”»</w:t>
      </w:r>
    </w:p>
    <w:p>
      <w:pPr>
        <w:pStyle w:val="ArticleScripture"/>
        <w:jc w:val="left"/>
      </w:pPr>
      <w:r>
        <w:rPr>
          <w:rFonts w:ascii="Times New Roman" w:hAnsi="Times New Roman" w:eastAsia="Times New Roman" w:cs="Times New Roman"/>
        </w:rPr>
        <w:t>«Дар ин ҷо мо мебинем, ки калисо — муқаддасгоҳи Худованд — аввалин шуда зарбаи ғазаби Худоро эҳсос кард. Пирони қадим, онҳое ки Худо ба онҳо нури бузург ато карда буд ва онҳо ҳамчун посбонони манфиатҳои рӯҳонии халқ меистоданд, ба амонате, ки ба онҳо супурда шуда буд, хиёнат карданд. Онҳо чунин мавқеъро пеш гирифтанд, ки гӯё мо дигар набояд мунтазири мӯъҷизаҳо ва зуҳури ошкори қудрати Худо бошем, чунон ки дар рӯзҳои пешин буд. Замонҳо тағйир ёфтаанд. Ин суханон беимонии онҳоро қувват мебахшанд, ва онҳо мегӯянд: Худованд на некӣ хоҳад кард ва на бадӣ хоҳад овард. Ӯ он қадар пурраҳм аст, ки қавми Худро бо доварӣ ҷазо намедиҳад. Ҳамин тавр, «Сулҳ ва амният» нидои мардоне мешавад, ки дигар ҳеҷ гоҳ овози худро мисли карнай баланд нахоҳанд кард, то ба қавми Худо гуноҳҳояшон ва ба хонаи Яъқуб хатоҳояшонро нишон диҳанд. Ин сагҳои гунге, ки аккос задан намехостанд, ҳамонҳоянд, ки интиқоми одилонаи Худои ба ғазабомадаро эҳсос мекунанд. Мардон, духтарон ва кӯдакони хурдсол ҳама якҷо ҳалок мешаванд». Testimonies, volume 5, 211.</w:t>
      </w:r>
    </w:p>
    <w:p>
      <w:pPr>
        <w:pStyle w:val="ArticleBody"/>
        <w:jc w:val="left"/>
      </w:pPr>
      <w:r>
        <w:rPr>
          <w:rFonts w:ascii="Times New Roman" w:hAnsi="Times New Roman" w:eastAsia="Times New Roman" w:cs="Times New Roman"/>
        </w:rPr>
        <w:t>Боби ҳаштум онҳоеро дар Ерусалим — «калисо»-ро, ки дар насли чоруми он чаҳор насл қарор доранд, тасвир мекунад; онҳо ба сурати касоне муаррифӣ шудаанд, ки ба офтоб саҷда мекунанд.</w:t>
      </w:r>
    </w:p>
    <w:p>
      <w:pPr>
        <w:pStyle w:val="ArticleScripture"/>
        <w:jc w:val="left"/>
      </w:pPr>
      <w:r>
        <w:rPr>
          <w:rFonts w:ascii="Times New Roman" w:hAnsi="Times New Roman" w:eastAsia="Times New Roman" w:cs="Times New Roman"/>
        </w:rPr>
        <w:t>Ва ӯ маро ба саҳни дарунии хонаи Худованд овард; ва инак, назди дари маъбади Худованд, дар миёни айвон ва қурбонгоҳ, тақрибан бисту панҷ мард буданд, ки пушташон сӯи маъбади Худованд ва рӯяшон сӯи шарқ буд; ва онҳо ба сӯи шарқ ба офтоб саҷда мекарданд. Сипас ӯ ба ман гуфт: «Оё инро дидаӣ, эй писари одам? Оё барои хонаи Яҳудо кори сабуке аст, ки он зиштиҳое, ки ин ҷо мекунанд, ба ҷо меоваранд? Зеро онҳо заминро аз зӯроварӣ пур кардаанд, ва боз гаштаанд, то Маро ба хашм оваранд; ва инак, онҳо шохаро ба бинии худ мегузоранд. Бинобар ин Ман низ бо ғазаб амал хоҳам кард: чашми Ман дареғ нахоҳад дошт, ва раҳм нахоҳам кард; ва гарчанде ки бо овози баланд дар гӯшҳои Ман нидо кунанд ҳам, онҳоро нахоҳам шунид». Ҳизқиёл 8:16–18.</w:t>
      </w:r>
    </w:p>
    <w:p>
      <w:pPr>
        <w:pStyle w:val="ArticleBody"/>
        <w:jc w:val="left"/>
      </w:pPr>
      <w:r>
        <w:rPr>
          <w:rFonts w:ascii="Times New Roman" w:hAnsi="Times New Roman" w:eastAsia="Times New Roman" w:cs="Times New Roman"/>
        </w:rPr>
        <w:t>Чунон ки дар мавриди хабари бади даҳ ҷосус буд, он бисту панҷ роҳбари исён, ки офтобро парастиш мекунанд, низ Худовандро ба ғазаб «барангехтаанд». Қонуни якшанбе ҳамон «рӯзи барангехтан» аст, ки анбиё ба он пешопеш ишора мекунанд. Боби нӯҳ онҳоеро тасвир мекунад, ки дар ҳамон лаҳзаи замон мӯҳри Худоро қабул мекунанд, зеро он фақат боби ҳаштро такрор намуда, онро ба таври густардатар баён мекунад.</w:t>
      </w:r>
    </w:p>
    <w:p>
      <w:pPr>
        <w:pStyle w:val="ArticleScripture"/>
        <w:jc w:val="left"/>
      </w:pPr>
      <w:r>
        <w:rPr>
          <w:rFonts w:ascii="Times New Roman" w:hAnsi="Times New Roman" w:eastAsia="Times New Roman" w:cs="Times New Roman"/>
        </w:rPr>
        <w:t>«Ин мӯҳр задани бандагони Худо [Ваҳй боби ҳафт] ҳамон аст, ки ба Ҳизқиёл дар рӯъё нишон дода шуда буд». Testimonies to Ministers, 445.</w:t>
      </w:r>
    </w:p>
    <w:p>
      <w:pPr>
        <w:pStyle w:val="ArticleBody"/>
        <w:jc w:val="left"/>
      </w:pPr>
      <w:r>
        <w:rPr>
          <w:rFonts w:ascii="Times New Roman" w:hAnsi="Times New Roman" w:eastAsia="Times New Roman" w:cs="Times New Roman"/>
        </w:rPr>
        <w:t>Соли 1863 насли аввали адвентизми Лоадиқия саргардонии худро дар биёбон оғоз кард. Таърихи нубувватие, ки сурати рашкро дар соли 1863 муайян мекунад, ҳамон гӯсолаи тиллоии Ҳорун буд. Хусусиятҳои нубувватии гӯсолаи тиллоӣ инҳоянд, ки он сурати ҳайвон буд ва аз тилло сохта шуда буд. Тилло рамзи Бобил аст, бинобар ин гӯсолаи тиллоии Ҳорун сурати ҳайвони Бобил буд. Сурати ҳайвон танҳо ҳамчун иттиҳоди калисо ва давлат, бо он ки калисо бар ин муносибат ҳукмронӣ дорад, таъриф мешавад.</w:t>
      </w:r>
    </w:p>
    <w:p>
      <w:pPr>
        <w:pStyle w:val="ArticleScripture"/>
        <w:jc w:val="left"/>
      </w:pPr>
      <w:r>
        <w:rPr>
          <w:rFonts w:ascii="Times New Roman" w:hAnsi="Times New Roman" w:eastAsia="Times New Roman" w:cs="Times New Roman"/>
        </w:rPr>
        <w:t>«Аммо “сурати ҳайвон” чист? ва он чӣ гуна бояд ташкил ёбад? Суратро ҳайвони дӯшоха месозад, ва он сурате барои ҳайвон аст. Он ҳамчунин сурати ҳайвон номида мешавад. Пас, то бидонем, ки ин сурат чӣ гуна аст ва чӣ гуна бояд ташкил ёбад, мо бояд хусусиятҳои худи ҳайвонро — папагиро — биомӯзем.</w:t>
      </w:r>
    </w:p>
    <w:p>
      <w:pPr>
        <w:pStyle w:val="ArticleScripture"/>
        <w:jc w:val="left"/>
      </w:pPr>
      <w:r>
        <w:rPr>
          <w:rFonts w:ascii="Times New Roman" w:hAnsi="Times New Roman" w:eastAsia="Times New Roman" w:cs="Times New Roman"/>
        </w:rPr>
        <w:t>«Ҳангоме ки калисои ибтидоӣ бо дур шудан аз соддагии Инҷил ва пазируфтани ойинҳо ва расму русуми бутпарастӣ фосид гардид, вай Рӯҳ ва қудрати Худоро аз даст дод; ва барои он ки виҷдони мардумро зери назорат гирад, ба пуштибонии ҳокимияти дунявӣ рӯй овард. Натиҷаи он папагарӣ буд, яъне калисое, ки қудрати давлатро зери назорати худ гирифта, онро барои пешбурди мақсадҳои худ, махсусан барои ҷазо додани “бидъат”, ба кор мебурд. Барои он ки Иёлоти Муттаҳида ҳайкали ҳайвони ваҳширо бисозад, қудрати динӣ бояд ҳукумати шаҳрвандиро чунон зери назорат гирад, ки ҳокимияти давлат низ аз ҷониби калисо барои расидан ба мақсадҳои худ ба кор бурда шавад». «Муборизаи бузург», 443.</w:t>
      </w:r>
    </w:p>
    <w:p>
      <w:pPr>
        <w:pStyle w:val="ArticleBody"/>
        <w:jc w:val="left"/>
      </w:pPr>
      <w:r>
        <w:rPr>
          <w:rFonts w:ascii="Times New Roman" w:hAnsi="Times New Roman" w:eastAsia="Times New Roman" w:cs="Times New Roman"/>
        </w:rPr>
        <w:t>Гӯсолае, ки Ҳорун сохт, дар ҳамон айём сохта шуд, ки Мусо Даҳ Аҳкомро мегирифт. Аҳкоми дуюм ибодати бутҳоро манъ мекунад ва ҳамчунин тавсифи қисмане аз хислати Худоро дар бар мегирад, он гоҳ ки Худоро ҳамчун Худои ғайюр муаррифӣ мекунад.</w:t>
      </w:r>
    </w:p>
    <w:p>
      <w:pPr>
        <w:pStyle w:val="ArticleScripture"/>
        <w:jc w:val="left"/>
      </w:pPr>
      <w:r>
        <w:rPr>
          <w:rFonts w:ascii="Times New Roman" w:hAnsi="Times New Roman" w:eastAsia="Times New Roman" w:cs="Times New Roman"/>
        </w:rPr>
        <w:t>Барои худ ҳеҷ бути кандакоришудае, ё ҳеҷ сурате аз чизе, ки дар осмони боло аст, ё дар замини поён аст, ё дар обҳои зери замин аст, масоз; ба онҳо саҷда макун ва онҳоро ибодат нанамо; зеро Ман, ки Худованд Худои ту ҳастам, Худои ғаюр ҳастам, ки гуноҳи падаронро бар фарзандон то насли сеюм ва чоруми онҳое ки аз Ман нафрат доранд, мерасонам; ва то ҳазорон насл ба онҳое ки Маро дӯст медоранд ва аҳкоми Маро риоя мекунанд, раҳм менамоям. Хуруҷ 20:4–6.</w:t>
      </w:r>
    </w:p>
    <w:p>
      <w:pPr>
        <w:pStyle w:val="ArticleBody"/>
        <w:jc w:val="left"/>
      </w:pPr>
      <w:r>
        <w:rPr>
          <w:rFonts w:ascii="Times New Roman" w:hAnsi="Times New Roman" w:eastAsia="Times New Roman" w:cs="Times New Roman"/>
        </w:rPr>
        <w:t>Тасвири гӯсолаи тиллоии Ҳорун, чун буте буд, тасвири рашкро ифода мекунад, зеро он он ғазаби одилонаро ба вуҷуд овард, ки Мӯсоро водор сохт ду лавҳаи аввали Даҳ Аҳкомро ба замин афканда бишканад. Мо қасд дорем нишон диҳем, ки нақшаи қалбакии соли 1863 ба воситаи гӯсолаи тиллоии Ҳорун рамзгузорӣ шуда буд. Рашки Худо нисбат ба гӯсолаи тиллоии Ҳорун зоҳир гардид, зеро гӯсолаи тиллоӣ худои козибро намояндагӣ мекард. Он гӯсола тасвири қалбакии Худо буд. Ҳорун эълон кард, ки он худоёнеро намояндагӣ мекунад, ки онҳоро аз бандагии Миср раҳо карда буданд. Он ду лавҳае, ки Мӯсо дар ҳамон таърих шикаст, «нусха»-и хислати Худои ҳақиқӣ, ҳамон Худое буданд, ки воқеан онҳоро аз Миср берун оварда буд. Нақшаи қалбакие, ки соли 1863 таҳия гардид, тасвири рашк аст, зеро он бо дур кардани ҳафт замони қасами Мӯсо ду лавҳаи боби дуюми Ҳабаққуқро шикаст.</w:t>
      </w:r>
    </w:p>
    <w:p>
      <w:pPr>
        <w:pStyle w:val="ArticleScripture"/>
        <w:jc w:val="left"/>
      </w:pPr>
      <w:r>
        <w:rPr>
          <w:rFonts w:ascii="Times New Roman" w:hAnsi="Times New Roman" w:eastAsia="Times New Roman" w:cs="Times New Roman"/>
        </w:rPr>
        <w:t>«Ман дидам, ки нақшаи соли 1843 бо дасти Худованд роҳнамоӣ шуда буд, ва он набояд тағйир дода шавад; ва рақамҳо ҳамон гуна буданд, ки Ӯ мехост; ва дасти Ӯ бар он буд ва иштибоҳеро дар баъзе аз рақамҳо пинҳон дошт, ба тавре ки ҳеҷ кас онро дида наметавонист, то даме ки дасти Ӯ бардошта шуд». Early Writings, 74, 75.</w:t>
      </w:r>
    </w:p>
    <w:p>
      <w:pPr>
        <w:pStyle w:val="ArticleBody"/>
        <w:jc w:val="left"/>
      </w:pPr>
      <w:r>
        <w:rPr>
          <w:rFonts w:ascii="Times New Roman" w:hAnsi="Times New Roman" w:eastAsia="Times New Roman" w:cs="Times New Roman"/>
        </w:rPr>
        <w:t>Боз Эллен Уайт ба фармон дар бораи дигаргун насохтани ҷадвали соли 1843, бо қайди «магар ба воситаи ваҳй», илова мекунад.</w:t>
      </w:r>
    </w:p>
    <w:p>
      <w:pPr>
        <w:pStyle w:val="ArticleScripture"/>
        <w:jc w:val="left"/>
      </w:pPr>
      <w:r>
        <w:rPr>
          <w:rFonts w:ascii="Times New Roman" w:hAnsi="Times New Roman" w:eastAsia="Times New Roman" w:cs="Times New Roman"/>
        </w:rPr>
        <w:t>«Ман дидам, ки ҷадвали кӯҳна аз ҷониби Худованд роҳнамоӣ шуда буд, ва ҳеҷ як рақами он набояд тағйир дода шавад, магар ба воситаи илҳом. Ман дидам, ки рақамҳои ҷадвал ҳамон гуна буданд, ки Худо мехост онҳо бошанд, ва дасти Ӯ бар як иштибоҳе дар баъзе аз рақамҳо буд ва онро пинҳон медошт, то ҳеҷ кас онро набинад, то даме ки дасти Ӯ бардошта шавад». Spalding and Magan, 2.</w:t>
      </w:r>
    </w:p>
    <w:p>
      <w:pPr>
        <w:pStyle w:val="ArticleBody"/>
        <w:jc w:val="left"/>
      </w:pPr>
      <w:r>
        <w:rPr>
          <w:rFonts w:ascii="Times New Roman" w:hAnsi="Times New Roman" w:eastAsia="Times New Roman" w:cs="Times New Roman"/>
        </w:rPr>
        <w:t>Яъқуб ва Эллен Уайт бо хонаводаи Отис Никол зиндагӣ мекарданд, ҳангоме ки Николҳо ҷадвали соли 1850-ро омода ва таҳия намуданд. Ягона чизе ки дар ҷадвали соли 1850 «тағйир дода шуд», он буд, ки соли «1844» ба ҷойи соли «1843», ки бар ҷадвали соли 1843 нишон дода шуда буд, истифода гардид. Ягона чизе ки «тағйир дода шуд», ислоҳи он «хатое» буд, ки Худо дасти Худро бар он нигоҳ дошта буд. Илҳоми он зан-пайғамбар маҳз дар ҳамон хонае ҳузур дошт, ки дар он ҷадвали соли 1843 ба ҷадвали соли 1850 «тағйир дода шуд», ва ҳафт замони Левизодагон бисту шаш бар он ҷадвал ҳамчунон ҳифз гардида буд, чунон ки бар ҷадвали соли 1843 низ буд.</w:t>
      </w:r>
    </w:p>
    <w:p>
      <w:pPr>
        <w:pStyle w:val="ArticleBody"/>
        <w:jc w:val="left"/>
      </w:pPr>
      <w:r>
        <w:rPr>
          <w:rFonts w:ascii="Times New Roman" w:hAnsi="Times New Roman" w:eastAsia="Times New Roman" w:cs="Times New Roman"/>
        </w:rPr>
        <w:t>Фармони дуюм порчаи дигари ин муаммои нубувватиро дар бар мегирад, зеро он нишон медиҳад, ки Худо наслҳоро мешуморад, то замоне ки барои ҷазо додани гуноҳи содиршуда муроҷиат намояд. Соли 1863 оғози насли аввали чор насли Калисои Адвентистони рӯзи ҳафтум буд, зеро ҳаракати Миллерӣ дар ҳамон вақт ба анҷом расид.</w:t>
      </w:r>
    </w:p>
    <w:p>
      <w:pPr>
        <w:pStyle w:val="ArticleBody"/>
        <w:jc w:val="left"/>
      </w:pPr>
      <w:r>
        <w:rPr>
          <w:rFonts w:ascii="Times New Roman" w:hAnsi="Times New Roman" w:eastAsia="Times New Roman" w:cs="Times New Roman"/>
        </w:rPr>
        <w:t>Ду лавҳаи Даҳ Аҳком намунаи пешакии ду лавҳаи Ҳабаққуқ мебошанд, аммо ҳамчунин онҳо рамзи ду нони ҷунбонидаи Пантикост низ ҳастанд, ки ягона қурбонӣ дар хизмати маъбад буданд, ки гуноҳро дар бар мегирифтанд. Зоҳиршавии қудрати Худо дар додани Даҳ Аҳком, зоҳиршавии қудрати Худо ҳангоми фурӯрезии Пантикост ва зоҳиршавии қудрати Худо дар таърихи ду ҷадвали миллериён, ҳама рамзи зоҳиршавии ниҳоии фурӯрезии Рӯҳулқудс дар борони охир мебошанд. Ду нони ҷунбонидаи Пантикост он яксаду чилу чор ҳазорро ифода мекунанд, ки дар айёми борони охир ҳамчун парчам барафрошта мешаванд.</w:t>
      </w:r>
    </w:p>
    <w:p>
      <w:pPr>
        <w:pStyle w:val="ArticleBody"/>
        <w:jc w:val="left"/>
      </w:pPr>
      <w:r>
        <w:rPr>
          <w:rFonts w:ascii="Times New Roman" w:hAnsi="Times New Roman" w:eastAsia="Times New Roman" w:cs="Times New Roman"/>
        </w:rPr>
        <w:t>Нонҳои мавҷии Пантикостӣ бояд бо «хамиртуруш» тайёр карда мешуданд, ки рамзи гуноҳ аст, аммо хамиртуруш бо ҷараёни пухтан нобуд мегардид.</w:t>
      </w:r>
    </w:p>
    <w:p>
      <w:pPr>
        <w:pStyle w:val="ArticleScripture"/>
        <w:jc w:val="left"/>
      </w:pPr>
      <w:r>
        <w:rPr>
          <w:rFonts w:ascii="Times New Roman" w:hAnsi="Times New Roman" w:eastAsia="Times New Roman" w:cs="Times New Roman"/>
        </w:rPr>
        <w:t>Дар он миён, ҳангоме ки издиҳоми бешумори мардум ҷамъ омада буданд, ба дараҷае ки якдигарро поймол мекарданд, Ӯ аввал ба шогирдони Худ оғоз намуда, гуфт: «Аз хамиртуруши фарисиён, ки риёкорист, ҳазар кунед». Луқо 12:1.</w:t>
      </w:r>
    </w:p>
    <w:p>
      <w:pPr>
        <w:pStyle w:val="ArticleBody"/>
        <w:jc w:val="left"/>
      </w:pPr>
      <w:r>
        <w:rPr>
          <w:rFonts w:ascii="Times New Roman" w:hAnsi="Times New Roman" w:eastAsia="Times New Roman" w:cs="Times New Roman"/>
        </w:rPr>
        <w:t>Нонҳои ҷунбонидашаванда қурбонии навбари ҳосил буданд.</w:t>
      </w:r>
    </w:p>
    <w:p>
      <w:pPr>
        <w:pStyle w:val="ArticleScripture"/>
        <w:jc w:val="left"/>
      </w:pPr>
      <w:r>
        <w:rPr>
          <w:rFonts w:ascii="Times New Roman" w:hAnsi="Times New Roman" w:eastAsia="Times New Roman" w:cs="Times New Roman"/>
        </w:rPr>
        <w:t>Шумо аз манзилҳои худ ду нони ҷунбониданиро, аз ду даҳяк ҳисса, биёред; онҳо аз орди маҳин бошанд; бо хамиртуруш пухта шаванд; онҳо нахустмеваҳо барои Худованд мебошанд. Ибодат 23:17.</w:t>
      </w:r>
    </w:p>
    <w:p>
      <w:pPr>
        <w:pStyle w:val="ArticleBody"/>
        <w:jc w:val="left"/>
      </w:pPr>
      <w:r>
        <w:rPr>
          <w:rFonts w:ascii="Times New Roman" w:hAnsi="Times New Roman" w:eastAsia="Times New Roman" w:cs="Times New Roman"/>
        </w:rPr>
        <w:t>Яксаду чиҳилу чор ҳазор — қурбонии навбари рӯзҳои охир мебошанд.</w:t>
      </w:r>
    </w:p>
    <w:p>
      <w:pPr>
        <w:pStyle w:val="ArticleScripture"/>
        <w:jc w:val="left"/>
      </w:pPr>
      <w:r>
        <w:rPr>
          <w:rFonts w:ascii="Times New Roman" w:hAnsi="Times New Roman" w:eastAsia="Times New Roman" w:cs="Times New Roman"/>
        </w:rPr>
        <w:t>Ва ман назар андохтам, ва инак, Барра бар кӯҳи Сион истода буд, ва бо Ӯ саду чиҳилу чор ҳазор, ки номи Падари Ӯ бар пешониҳои онҳо навишта шуда буд. Ва овозе аз осмон шунидам, мисли овози обҳои бисёр ва мисли овози раъди азим; ва овози навозандагонро шунидам, ки бо чангҳои худ менавохтанд. Ва онҳо гӯё суруди наве пеши тахт, ва пеши он чор ҳайвон, ва пирон месуруданд; ва ҳеҷ кас он сурудро омӯхта наметавонист, магар он саду чиҳилу чор ҳазор, ки аз замин фидия ёфта буданд. Инҳоянд онҳое ки бо занон палид нашудаанд, зеро онҳо бокираанд. Инҳоянд онҳое ки ҳар ҷо Барра равад, аз ақиби Ӯ мераванд. Инҳо аз миёни одамон фидия ёфтаанд, то нахустмеваҳо барои Худо ва барои Барра бошанд. Ва дар даҳони онҳо ҳеҷ макре ёфт нашуд, зеро онҳо пеши тахти Худо беайбанд. Ваҳй 14:1–5.</w:t>
      </w:r>
    </w:p>
    <w:p>
      <w:pPr>
        <w:pStyle w:val="ArticleBody"/>
        <w:jc w:val="left"/>
      </w:pPr>
      <w:r>
        <w:rPr>
          <w:rFonts w:ascii="Times New Roman" w:hAnsi="Times New Roman" w:eastAsia="Times New Roman" w:cs="Times New Roman"/>
        </w:rPr>
        <w:t>Синфи парастандагон дар айёми охир, ки ҳаргиз намемиранд ва бо Илёс намояндагӣ мешаванд, бар гуноҳ комилан ғолиб хоҳанд омад, зеро оташи поксозие, ки аз ҷониби Паёмбари Аҳд бар онҳо оварда мешавад, хамирмояро аз писарони Левӣ ба таври комил мепазонад ва дур месозад.</w:t>
      </w:r>
    </w:p>
    <w:p>
      <w:pPr>
        <w:pStyle w:val="ArticleScripture"/>
        <w:jc w:val="left"/>
      </w:pPr>
      <w:r>
        <w:rPr>
          <w:rFonts w:ascii="Times New Roman" w:hAnsi="Times New Roman" w:eastAsia="Times New Roman" w:cs="Times New Roman"/>
        </w:rPr>
        <w:t>Инак, Ман фиристодаи Худро мефиристам, ва ӯ роҳро пеши Ман тайёр хоҳад кард; ва Худованде ки шумо Ӯро металабед, ногаҳон ба маъбади Худ хоҳад омад, яъне Фариштаи аҳд, ки шумо аз Ӯ хурсанд мешавед: инак, Ӯ хоҳад омад, мегӯяд Парвардигори лашкарҳо. Лекин кист, ки рӯзи омадани Ӯро тоқат карда тавонад? ва кист, ки ҳангоми зоҳир шудани Ӯ истода тавонад? зеро Ӯ мисли оташи гудозанда ва мисли собуни ҷомашӯён аст. Ва Ӯ нишаста, мисраро гудохта ва пок хоҳад кард; ва Ӯ писарони Левиро пок хоҳад намуд, ва онҳоро мисли тилло ва нуқра соф хоҳад кард, то ки онҳо барои Худованд ҳадияеро дар адолат тақдим намоянд. Он гоҳ ҳадияи Яҳудо ва Ерусалим назди Худованд мақбул хоҳад буд, чунон ки дар рӯзҳои қадим ва мисли солҳои пешин. Малокӣ 3:1–4.</w:t>
      </w:r>
    </w:p>
    <w:p>
      <w:pPr>
        <w:pStyle w:val="ArticleBody"/>
        <w:jc w:val="left"/>
      </w:pPr>
      <w:r>
        <w:rPr>
          <w:rFonts w:ascii="Times New Roman" w:hAnsi="Times New Roman" w:eastAsia="Times New Roman" w:cs="Times New Roman"/>
        </w:rPr>
        <w:t>Қурбоние, ки «мисли рӯзҳои қадим» аст, ҳамон қурбонии ҷунбонии Пантикостӣ аз ду нон мебошад. Он ҳамчун қурбонӣ боло бардошта шуд ва он ду пайғамбарро, ки дар кӯчаҳо кушта шуданд ва сипас дар оғози буҳрони қонуни якшанбе ҳамчун аломате ба осмон боло бурда мешаванд, муайян месозад.</w:t>
      </w:r>
    </w:p>
    <w:p>
      <w:pPr>
        <w:pStyle w:val="ArticleBody"/>
        <w:jc w:val="left"/>
      </w:pPr>
      <w:r>
        <w:rPr>
          <w:rFonts w:ascii="Times New Roman" w:hAnsi="Times New Roman" w:eastAsia="Times New Roman" w:cs="Times New Roman"/>
        </w:rPr>
        <w:t>Вақте ки Ҳорун гӯсолаи тиллоии худро сохт, ӯ эълон кард, ки он гӯсола ҳамон худоёнест, ки онҳоро аз Миср берун овардаанд, ва сипас барои Худованд ид эълон намуд.</w:t>
      </w:r>
    </w:p>
    <w:p>
      <w:pPr>
        <w:pStyle w:val="ArticleScripture"/>
        <w:jc w:val="left"/>
      </w:pPr>
      <w:r>
        <w:rPr>
          <w:rFonts w:ascii="Times New Roman" w:hAnsi="Times New Roman" w:eastAsia="Times New Roman" w:cs="Times New Roman"/>
        </w:rPr>
        <w:t>Ва ӯ онҳоро аз дасти эшон гирифт, ва онро бо олати кандакорӣ шакл дод, баъд аз он ки онро гӯсолаи рехтагарӣ сохта буд; ва онҳо гуфтанд: Инҳоянд худоёни ту, эй Исроил, ки туро аз замини Миср берун овардаанд. Ва чун Ҳорун инро дид, қурбонгоҳе пеши он бино кард; ва Ҳорун нидо намуда, гуфт: Фардо идест барои Худованд. Хуруҷ 32:4, 5.</w:t>
      </w:r>
    </w:p>
    <w:p>
      <w:pPr>
        <w:pStyle w:val="ArticleBody"/>
        <w:jc w:val="left"/>
      </w:pPr>
      <w:r>
        <w:rPr>
          <w:rFonts w:ascii="Times New Roman" w:hAnsi="Times New Roman" w:eastAsia="Times New Roman" w:cs="Times New Roman"/>
        </w:rPr>
        <w:t>Ҳангоме ки подшоҳии шимолии Исроил аз подшоҳии ҷанубии Яҳудо ҷудо шуд, Ёробъом, нахустин подшоҳи Исроил, қасдан дар ду шаҳр низоми ибодати қалбакӣ ҷорӣ намуд, ҳамон эълонеро баён кард, ки Ҳорун карда буд, ва иддао намуд, ки ду гӯсолаи тиллоии ӯ ҳамон худоёне мебошанд, ки онҳоро аз Миср берун овардаанд, ва, чунон ки Ҳорун карда буд, ҷашни қалбакиеро низ таъйин кард.</w:t>
      </w:r>
    </w:p>
    <w:p>
      <w:pPr>
        <w:pStyle w:val="ArticleScripture"/>
        <w:jc w:val="left"/>
      </w:pPr>
      <w:r>
        <w:rPr>
          <w:rFonts w:ascii="Times New Roman" w:hAnsi="Times New Roman" w:eastAsia="Times New Roman" w:cs="Times New Roman"/>
        </w:rPr>
        <w:t>Ва Еробъом дар дили худ гуфт: «Акнун подшоҳӣ ба хонаи Довуд бармегардад. Агар ин қавм ба Ерусалим, ба хонаи Худованд, барои қурбонӣ овардан бираванд, дили ин қавм боз ба сӯи хоҷаи худ, яъне ба Раҳабъом, подшоҳи Яҳудо, хоҳад гашт; ва маро хоҳанд кушт ва боз ба назди Раҳабъом, подшоҳи Яҳудо, хоҳанд рафт». Бинобар ин, подшоҳ машварат карда, ду гӯсолаи тиллоин сохт ва ба онҳо гуфт: «Барои шумо ба Ерусалим рафтан бисёр аст; инак худоёни ту, эй Исроил, ки туро аз замини Миср берун оварданд». Ва якеро дар Байт-Ил гузошт, ва дигареро дар Дон ниҳод. Ва ин кор гуноҳ гардид, зеро қавм барои саҷда кардан назди яке мерафтанд, ҳатто то Дон. Ва ӯ хонаи баландиҳоро бино кард, ва аз миёни пасттарин мардум коҳинон таъйин намуд, ки аз писарони Левӣ набуданд. Ва Еробъом дар моҳи ҳаштум, дар рӯзи понздаҳуми моҳ, монанди идие ки дар Яҳудо буд, ид муқаррар кард; ва бар қурбонгоҳ қурбонӣ овард. Дар Байт-Ил низ чунин кард, ва ба гӯсолаҳои сохтаи худ қурбонӣ овард; ва дар Байт-Ил коҳинони баландиҳоро, ки сохта буд, барқарор намуд. Пас, дар рӯзи понздаҳуми моҳи ҳаштум, яъне дар ҳамон моҳе ки аз дили худ ихтироъ карда буд, бар қурбонгоҳе ки дар Байт-Ил сохта буд, қурбонӣ овард; ва барои банӣ-Исроил ид муқаррар кард; ва бар қурбонгоҳ қурбонӣ оварда, бухур сӯзонид. 3 Подшоҳон 12:26–33.</w:t>
      </w:r>
    </w:p>
    <w:p>
      <w:pPr>
        <w:pStyle w:val="ArticleBody"/>
        <w:jc w:val="left"/>
      </w:pPr>
      <w:r>
        <w:rPr>
          <w:rFonts w:ascii="Times New Roman" w:hAnsi="Times New Roman" w:eastAsia="Times New Roman" w:cs="Times New Roman"/>
        </w:rPr>
        <w:t>Дон маънои довариро дорад ва як ҳолатро ифода менамояд; Байт-Ил маънои хонаи Худоро дорад. Чунон ки дар исёни Ҳорун ва ҳам дар исёни подшоҳ Ёробъом, рамзҳо иттиҳоди калисо ва давлатро муайян месозанд, ки дар ниҳоят ҳангоми қонуни якшанбе дар Иёлоти Муттаҳида ба амал меояд.</w:t>
      </w:r>
    </w:p>
    <w:p>
      <w:pPr>
        <w:pStyle w:val="ArticleBody"/>
        <w:jc w:val="left"/>
      </w:pPr>
      <w:r>
        <w:rPr>
          <w:rFonts w:ascii="Times New Roman" w:hAnsi="Times New Roman" w:eastAsia="Times New Roman" w:cs="Times New Roman"/>
        </w:rPr>
        <w:t>Қонуни якшанбе дар охири адвентизм ба вуқӯъ меояд, ва дар оғози адвентизм, он ҳаракате ки дар тобистони соли 1844 ҳамчун шохи протестантӣ шинохта шуда буд, аз лиҳози ҳуқуқӣ бо шохи ҷумҳурихоҳ ба ҳам пайваст. Пас, исёни Ҳорун ва Ёробъом ҳам соли 1863-ро намояндагӣ мекунад, ва ҳам қонуни якшанбеи ба зудӣ ояндаро.</w:t>
      </w:r>
    </w:p>
    <w:p>
      <w:pPr>
        <w:pStyle w:val="ArticleBody"/>
        <w:jc w:val="left"/>
      </w:pPr>
      <w:r>
        <w:rPr>
          <w:rFonts w:ascii="Times New Roman" w:hAnsi="Times New Roman" w:eastAsia="Times New Roman" w:cs="Times New Roman"/>
        </w:rPr>
        <w:t>Сабаби он ки фариштаи аҳд «писарони Левӣ»-ро пок месозад, на ҳеҷ яке аз сибтҳои дигарро, ин аст, ки дар исёни гӯсолаи тиллоии Ҳорун, ҳамин левизодагон буданд, ки бо Мусо истоданд. Ба сабаби вафодории онҳо, пас аз он, онҳо он сибте гардонида шуданд, ки намояндаи коҳинот бошад, шарафе ки пештар муқаррар шуда буд аз нахустзодагони ҳар яке аз сибтҳо иборат бошад. Аз ҳамин ҷост, ки Ёробъом эҳтиёт кард, ки коҳиноти қалбакии ӯ аз писарони Левӣ набошад, балки коҳиноти худро «аз пасттарини мардум, ки аз писарони Левӣ набуданд» таъин кард.</w:t>
      </w:r>
    </w:p>
    <w:p>
      <w:pPr>
        <w:pStyle w:val="ArticleBody"/>
        <w:jc w:val="left"/>
      </w:pPr>
      <w:r>
        <w:rPr>
          <w:rFonts w:ascii="Times New Roman" w:hAnsi="Times New Roman" w:eastAsia="Times New Roman" w:cs="Times New Roman"/>
        </w:rPr>
        <w:t>Писарони Левӣ касоне мебошанд, ки дар вақти бӯҳрони қонуни якшанбе ҳамчун байрақ, ё қурбонии ҷунбонида, бо оташ пок карда мешаванд. Таърихи бӯҳрони қонуни якшанбе дар айёми охир бо бӯҳрони соли 1863 пешнамоӣ шуда буд, вақте ки шохи нав муайяншудаи протестантӣ ба таври қонунӣ ба шохи ҷумҳурихоҳ пайваст гардид. Пеш аз он ки мо ба баррасии порчаҳое, ки ҳозир ба онҳо ишора кардем, оғоз намоем, боз як хатти таърих боқӣ мемонад, ки бояд ба он пардозем.</w:t>
      </w:r>
    </w:p>
    <w:p>
      <w:pPr>
        <w:pStyle w:val="ArticleBody"/>
        <w:jc w:val="left"/>
      </w:pPr>
      <w:r>
        <w:rPr>
          <w:rFonts w:ascii="Times New Roman" w:hAnsi="Times New Roman" w:eastAsia="Times New Roman" w:cs="Times New Roman"/>
        </w:rPr>
        <w:t>Он хат соли 1856 аст, ва мо дар мақолаи навбатии худ ба он хоҳем пардохт.</w:t>
      </w:r>
    </w:p>
    <w:p>
      <w:pPr>
        <w:pStyle w:val="ArticleScripture"/>
        <w:jc w:val="left"/>
      </w:pPr>
      <w:r>
        <w:rPr>
          <w:rFonts w:ascii="Times New Roman" w:hAnsi="Times New Roman" w:eastAsia="Times New Roman" w:cs="Times New Roman"/>
        </w:rPr>
        <w:t>«Омадани Масеҳ ҳамчун Саркоҳини мо ба Қудси муқаддас, барои поксозии мақдис, ки дар Дониёл 8:14 нишон дода шудааст; омадани Писари Одам назди Қадими айём, чунон ки дар Дониёл 7:13 баён шудааст; ва омадани Худованд ба маъбади Худ, ки Молокӣ пешгӯйӣ кардааст, ҳама тавсифи як воқеаи ягонаанд; ва ҳамин ҳамчунин бо омадани домод ба тӯй, ки Масеҳ онро дар масали даҳ бокира дар Матто 25 тасвир кардааст, ифода ёфтааст». «Муборизаи бузург», 426.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Илёс — рақами нӯҳ</dc:title>
  <dc:subject>Пайғамбар дурӯғ гуфт</dc:subject>
  <dc:creator>Jeff Pippenger</dc:creator>
  <cp:keywords/>
  <dc:description>Generated by ArticleDigger from elijah\09_elijah.json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