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Даҳ</w:t>
      </w:r>
    </w:p>
    <w:p>
      <w:pPr>
        <w:pStyle w:val="ArticleSubtitle"/>
        <w:jc w:val="left"/>
      </w:pPr>
      <w:r>
        <w:rPr>
          <w:rFonts w:ascii="Arial" w:hAnsi="Arial" w:eastAsia="Arial" w:cs="Arial"/>
        </w:rPr>
        <w:t>Нуқтаи миёна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Таърихи пинҳонии Дониёл ёздаҳ ояти чил бо таърихе, ки дар оятҳои даҳ то шонздаҳи ҳамон боб тасвир шудааст, мувофиқат мекунад. Дар оятҳои даҳ то шонздаҳ хатти шохи муртади ҷумҳурихоҳи Иёлоти Муттаҳида аз ҳайвони заминии Ваҳй сездаҳ бо Доналд Трамп ифода шудааст; хатти шохи муртади протестантии Иёлоти Муттаҳида бо Маккабиён ифода шудааст; хатти ҳайвони баҳрии папагӣ ҳамчун «ғоратгарони қавми ту» ифода шудааст ва хатти аждаҳо бо подшоҳони гуногуни ҷануб ва Филиппи Мақдунӣ ифода шудааст. Хатти саду чилу чор ҳазор бо Петрус ифода шудааст.</w:t>
      </w:r>
    </w:p>
    <w:p>
      <w:pPr>
        <w:pStyle w:val="ArticleHeading"/>
        <w:jc w:val="left"/>
      </w:pPr>
      <w:r>
        <w:rPr>
          <w:rFonts w:ascii="Arial" w:hAnsi="Arial" w:eastAsia="Arial" w:cs="Arial"/>
        </w:rPr>
        <w:t>Миёнараҳа</w:t>
      </w:r>
    </w:p>
    <w:p>
      <w:pPr>
        <w:pStyle w:val="ArticleBody"/>
        <w:jc w:val="left"/>
      </w:pPr>
      <w:r>
        <w:rPr>
          <w:rFonts w:ascii="Times New Roman" w:hAnsi="Times New Roman" w:eastAsia="Times New Roman" w:cs="Times New Roman"/>
        </w:rPr>
        <w:t>Дар дохили он таърихи пинҳон, миёна такроран таъкид карда мешавад. Он 250 соле, ки дар соли 457 то милод оғоз ёфт, дар соли 207 то милод, дар миёни ҷангҳои Рафия ва Паниум, яъне ду ҷанги охирини ниёбатии оятҳои ёздаҳум то понздаҳум, ба анҷом расид. Он 250 соли ҳайвони замин, ки дар соли 1776 оғоз ёфт, дар соли 2026, яъне соли «интихоботи миёнамуҳлат» дар арсаи сиёсии ҳайвони замин, ба поён мерасад. Петрус дар Қайсарияи Филиппӣ (Паниум) қарор дорад, ки миёнаи он се маврид аст, ки Масеҳ танҳо се шогирдро махсусан бо Худ бурд.</w:t>
      </w:r>
    </w:p>
    <w:p>
      <w:pPr>
        <w:pStyle w:val="ArticleBody"/>
        <w:jc w:val="left"/>
      </w:pPr>
      <w:r>
        <w:rPr>
          <w:rFonts w:ascii="Times New Roman" w:hAnsi="Times New Roman" w:eastAsia="Times New Roman" w:cs="Times New Roman"/>
        </w:rPr>
        <w:t>Дар таърихи он хатҳои мувозӣ Петрус намояндагии касонеро мекунад, ки огоҳиро дар бораи тӯбҳои оташин бар Нэшвилл ислоҳ намуда, такрор мекунанд. Номи Петрус маҳз дар миёнаи бобҳои ёздаҳ то бисту дуи Матто иваз карда шуд, ҳамон тавре ки боби миёнаи Ибром дар миёни бобҳои ёздаҳ то бисту ду хатнаро ҳамчун аломати аҳд муайян намуд, ҳамроҳ бо он ки миёнаи бобҳои ёздаҳ то бисту дуи Ваҳй аломати аҳди маргро дар Ваҳй 17 нишон медиҳад. Нуқтаи миёна ҷоест, ки яксаду чилу чаҳор ҳазор аз Лоудикия ба Филаделфия табдил меёбанд, ва миёнаи се фаришта фариштаи дуюм аст.</w:t>
      </w:r>
    </w:p>
    <w:p>
      <w:pPr>
        <w:pStyle w:val="ArticleBody"/>
        <w:jc w:val="left"/>
      </w:pPr>
      <w:r>
        <w:rPr>
          <w:rFonts w:ascii="Times New Roman" w:hAnsi="Times New Roman" w:eastAsia="Times New Roman" w:cs="Times New Roman"/>
        </w:rPr>
        <w:t>Қадами дуюм, ё марҳилаи миёна, вақти имтиҳони маъбади дуюм аст, ки пас аз имтиҳони аввал ва асосӣ меояд. Имтиҳони аввалини соли 2024 барқарор гардидани рӯъёи беруна бо рамзи Рум буд, ва имтиҳони дуюм рӯъёи дохилии мараҳ (оина) дар бораи Масеҳ дар Қудси муқаддасҳо мебошад. Дар таърихи фариштаи дуюм, паёми нидои нисфи шаб мерасад, то паёми фариштаи дуюмро қувват бахшад.</w:t>
      </w:r>
    </w:p>
    <w:p>
      <w:pPr>
        <w:pStyle w:val="ArticleBody"/>
        <w:jc w:val="left"/>
      </w:pPr>
      <w:r>
        <w:rPr>
          <w:rFonts w:ascii="Times New Roman" w:hAnsi="Times New Roman" w:eastAsia="Times New Roman" w:cs="Times New Roman"/>
        </w:rPr>
        <w:t>Дар таърихи миллеритии соли 1840, Ҷӯшиё (ба маънои «бунёди Худо») Литч дар шиносоии худ аз пешгӯии Ислом, яъне вои аввал ва дуюм, ислоҳе ворид кард; ва дар соли 1844, Самуэл Сноу ислоҳи пешгӯии соли 1843-ро, дар иҷрои масали даҳ духтар, анҷом дод. Петрус дар соли 2026 бояд пешгӯии нокомшудаи тӯбҳои оташини Нашвиллро, чунон ки бо ноумедии миллеритии соли 1843 намунасозӣ шудааст, ислоҳ кунад ва паёми Исломро, чунон ки бо кори Ҷӯшиё Литч дар соли 1840 намунасозӣ шудааст, танзим намояд. Ин ду рӯйдоди миллеритии солҳои 1840 ва 1844 тавонмандшавии паёми фариштаи аввалро дар 11 августи 1840 ва тавонмандшавии паёми фариштаи дуюмро дар 17 августи 1844 намояндагӣ мекунанд. Якҷоя, онҳо тавонмандшавии нидои нисфи шабро ҳангоми фуруд омадани тӯбҳои оташини Нашвилл муайян месозанд.</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мунаввар созад. Дар ин ҷо коре бо фарогирии умумиҷаҳонӣ ва қудрате бесобиқа пешгӯӣ шудааст. Ҳаракати адвентӣ дар солҳои 1840–44 зуҳури пурҷалоли қудрати Худо буд; паёми фариштаи якум ба ҳар як пойгоҳи миссионерӣ дар ҷаҳон расонда шуд, ва дар баъзе кишварҳо бузургтарин таваҷҷуҳи динӣ падид омад, ки аз замони Ислоҳоти асри шонздаҳум то имрӯз дар ҳеҷ сарзамине дида нашуда буд; аммо ҳамаи инро ҳаракати қавие, ки зери огоҳии охирини фариштаи сеюм ба амал хоҳад омад, болотар хоҳад гузашт.» The Great Controversy, 611.</w:t>
      </w:r>
    </w:p>
    <w:p>
      <w:pPr>
        <w:pStyle w:val="ArticleBody"/>
        <w:jc w:val="left"/>
      </w:pPr>
      <w:r>
        <w:rPr>
          <w:rFonts w:ascii="Times New Roman" w:hAnsi="Times New Roman" w:eastAsia="Times New Roman" w:cs="Times New Roman"/>
        </w:rPr>
        <w:t>Савол ин аст, ки чаро, бо вуҷуди ҳамаи шаҳрҳои Иёлоти Муттаҳида, инояти Худо Нашвиллро интихоб намуд. Ҳангоми фаро расидани войи сеюм дар 11 сентябр, Бурҷҳои Дугонаи Ню-Йорк ва Пентагони Вашингтон, DC ҳадаф қарор гирифтанд. Ҳавопаймои чорум ба замин суқут кард. Рамзи ҳайвони замин — замин аст; рамзи қудрати иқтисодии он Ню-Йорк аст, ва рамзи қудрати ҳарбии он Пентагон. Вақте ки Иёлоти Муттаҳида ҷаҳонро маҷбур месозад, ки аломати ҳокимияти папавӣ ва низоми сиёсии калисо ва давлатро, ки сурати ҳайвон аст, қабул кунад, он инро тавассути қудрати ҳарбӣ ва иқтисодии худ анҷом медиҳад, зеро Ваҳй боби сездаҳ истифодаи қудрат аз ҷониби ҳайвони заминро барои манъ кардани харидуфурӯш ба содиқон муайян мекунад, ва ҳамчунин онҳоеро, ки барои шанбеи рӯзи ҳафтуми Худо меистанд, ба қатл мерасонад. Рамзшиносии нубувватӣ дар Дониёл 11:40 ҳамчун «аробаҳо, саворагон (қудрати ҳарбӣ) ва киштиҳо» (қудрати иқтисодӣ) ба тасвир кашида шудааст.</w:t>
      </w:r>
    </w:p>
    <w:p>
      <w:pPr>
        <w:pStyle w:val="ArticleBody"/>
        <w:jc w:val="left"/>
      </w:pPr>
      <w:r>
        <w:rPr>
          <w:rFonts w:ascii="Times New Roman" w:hAnsi="Times New Roman" w:eastAsia="Times New Roman" w:cs="Times New Roman"/>
        </w:rPr>
        <w:t>Дар замони муҳргузории яксаду чилу чаҳор ҳазор, Ислом ба таври ғайричашмдошт чор бор ба замини ҷалол ҳамла мекунад. Аввалӣ 9/11 буд, дуюм ва сеюм замини ҷалоли қадимаи аслӣ ва сипас Нашвилл буданд. Чорумин — заминларзаи Ваҳй боби ёздаҳ аст, ки ҳамон қонуни якшанбе мебошад. Дар заминаи Билъом ва се фаришта, ду ҳамлаи 7-уми октябри соли 2023 ва Нашвилл ду токзори библиявии қавми аҳди Худоро ифода мекунанд.</w:t>
      </w:r>
    </w:p>
    <w:p>
      <w:pPr>
        <w:pStyle w:val="ArticleBody"/>
        <w:jc w:val="left"/>
      </w:pPr>
      <w:r>
        <w:rPr>
          <w:rFonts w:ascii="Times New Roman" w:hAnsi="Times New Roman" w:eastAsia="Times New Roman" w:cs="Times New Roman"/>
        </w:rPr>
        <w:t>Вақте ки захми марговари папагарӣ дар қонуни якшанбе шифо меёбад, зуҳури дуюми Асрҳои Торик оғоз меёбад. Вои аввал ва сеюм яксонанд, зеро Масеҳ ҳамеша анҷомро бо ибтидо тасвир мекунад; бинобар ин, ситораи афтодаи Муҳаммад дар вои аввал, ки калидро гардонд ва чоҳи беҳадро кушод, ва андаке пас аз 9/11 бехудоии чоҳи беҳад ду шоҳиди Ваҳйи боби ёздаҳро кушт. Дар қонуни якшанбе захми марговари папагӣ шифо меёбад, ва ҳайвони католикият муаммои нубувватии ҳаштумро (ки рамзи эҳёст) ба иҷро мерасонад. Пас аз он давраи дуюми Асрҳои Торик оғоз меёбад, ҳамчун сеюмин аломати роҳии Билъом, вақте ки модахар сухан мегӯяд, калидро мегардонад, то чоҳи беҳадро боз кушояд. Пас аз 9/11, бехудоӣ, яъне аждаҳо, аз чоҳ баромад, то бар зидди сарватмандтарин подшоҳе биҷангад, ки тамоми мулки Юнонро ба шӯр овард. Дар қонуни якшанбе ҳайвони Ваҳйи боби ҳабдаҳ аз чоҳи беҳад боло мебарояд ва торикӣ боз офтобро тира месозад.</w:t>
      </w:r>
    </w:p>
    <w:p>
      <w:pPr>
        <w:pStyle w:val="ArticleBody"/>
        <w:jc w:val="left"/>
      </w:pPr>
      <w:r>
        <w:rPr>
          <w:rFonts w:ascii="Times New Roman" w:hAnsi="Times New Roman" w:eastAsia="Times New Roman" w:cs="Times New Roman"/>
        </w:rPr>
        <w:t>Чаро Нэшвилл? Ин савол ҳанӯз ҳам ҳалношуда боқӣ мемонад. Нэшвилл оғози давраи кӯтоҳи эълони паёми нидои нимашабро нишон медиҳад, ва он бо ҳамлаи харобкори ғайричашмдошти ислом оғоз меёбад ва ба ҳамон тарз анҷом меёбад. Қонуни якшанбе дар охири он давра иҷрои нишони ҳайвонро дар Иёлоти Муттаҳида ва оғози харобии шаҳрҳоро ифода мекунад. «Харобӣ» хусусияти нубувватии ислом аст.</w:t>
      </w:r>
    </w:p>
    <w:p>
      <w:pPr>
        <w:pStyle w:val="ArticleHeading"/>
        <w:jc w:val="left"/>
      </w:pPr>
      <w:r>
        <w:rPr>
          <w:rFonts w:ascii="Arial" w:hAnsi="Arial" w:eastAsia="Arial" w:cs="Arial"/>
        </w:rPr>
        <w:t>Вайронӣ</w:t>
      </w:r>
    </w:p>
    <w:p>
      <w:pPr>
        <w:pStyle w:val="ArticleScripture"/>
        <w:jc w:val="left"/>
      </w:pPr>
      <w:r>
        <w:rPr>
          <w:rFonts w:ascii="Times New Roman" w:hAnsi="Times New Roman" w:eastAsia="Times New Roman" w:cs="Times New Roman"/>
        </w:rPr>
        <w:t>«Шаби гузашта як манзараи басо таъсирбахш пеши назарам гузашт. Ман дидам, ки тӯби азими оташин ба миёни чанд қасри зебо фурӯ афтод ва онҳоро дарҳол нобуд сохт. Шунидам, ки баъзеҳо мегуфтанд: “Мо медонистем, ки довариҳои Худо бар замин меоянд, аммо намедонистем, ки онҳо ин қадар зуд хоҳанд омад”. Дигарон мегуфтанд: “Шумо медонистед! Пас чаро ба мо нагуфтед? Мо намедонистем”. Аз ҳар тараф чунин суханонро мешунидам». Нома 217, 1904.</w:t>
      </w:r>
    </w:p>
    <w:p>
      <w:pPr>
        <w:pStyle w:val="ArticleHeading"/>
        <w:jc w:val="left"/>
      </w:pPr>
      <w:r>
        <w:rPr>
          <w:rFonts w:ascii="Arial" w:hAnsi="Arial" w:eastAsia="Arial" w:cs="Arial"/>
        </w:rPr>
        <w:t>Нуҳ ёздаҳ</w:t>
      </w:r>
    </w:p>
    <w:p>
      <w:pPr>
        <w:pStyle w:val="ArticleBody"/>
        <w:jc w:val="left"/>
      </w:pPr>
      <w:r>
        <w:rPr>
          <w:rFonts w:ascii="Times New Roman" w:hAnsi="Times New Roman" w:eastAsia="Times New Roman" w:cs="Times New Roman"/>
        </w:rPr>
        <w:t>Ваҳй «Нӯҳ ёздаҳ» хислати салтанати исломро ҳамчун марг ва харобӣ муайян мекунад, зеро дар нубувват ном намояндаи хислат мебошад.</w:t>
      </w:r>
    </w:p>
    <w:p>
      <w:pPr>
        <w:pStyle w:val="ArticleBody"/>
        <w:jc w:val="left"/>
      </w:pPr>
      <w:r>
        <w:rPr>
          <w:rFonts w:ascii="Times New Roman" w:hAnsi="Times New Roman" w:eastAsia="Times New Roman" w:cs="Times New Roman"/>
        </w:rPr>
        <w:t>Ва бар сари худ подшоҳе доштанд, ки фариштаи вартаи беинтиҳост; номи ӯ ба забони ибронӣ Абаддун аст, аммо ба забони юнонӣ номаш Аполлюн мебошад. Ваҳй 9/11.</w:t>
      </w:r>
    </w:p>
    <w:p>
      <w:pPr>
        <w:pStyle w:val="ArticleBody"/>
        <w:jc w:val="left"/>
      </w:pPr>
      <w:r>
        <w:rPr>
          <w:rFonts w:ascii="Times New Roman" w:hAnsi="Times New Roman" w:eastAsia="Times New Roman" w:cs="Times New Roman"/>
        </w:rPr>
        <w:t>Абаддон маънои «ҳалокат» ё «макони ҳалокат»-ро дорад, ва Аполлиён маънои «ҳалоккунанда»-ро дорад.</w:t>
      </w:r>
    </w:p>
    <w:p>
      <w:pPr>
        <w:pStyle w:val="ArticleScripture"/>
        <w:jc w:val="left"/>
      </w:pPr>
      <w:r>
        <w:rPr>
          <w:rFonts w:ascii="Times New Roman" w:hAnsi="Times New Roman" w:eastAsia="Times New Roman" w:cs="Times New Roman"/>
        </w:rPr>
        <w:t>«Фариштагон чор шамолро нигоҳ медоранд, ки ба сурати аспи хашмгин тасвир шудааст, ки мехоҳад худро раҳо кунад ва бар рӯи тамоми замин тохта гузарад ва дар роҳи худ ҳалокат ва марг оварад.</w:t>
      </w:r>
    </w:p>
    <w:p>
      <w:pPr>
        <w:pStyle w:val="ArticleScripture"/>
        <w:jc w:val="left"/>
      </w:pPr>
      <w:r>
        <w:rPr>
          <w:rFonts w:ascii="Times New Roman" w:hAnsi="Times New Roman" w:eastAsia="Times New Roman" w:cs="Times New Roman"/>
        </w:rPr>
        <w:t>«Оё мо дар худи канори олами ҷовидонӣ бихобем? Оё мо кунд ва сард ва мурда бошем? Оҳ, кош дар калисоҳои мо Рӯҳ ва нафаси Худо ба қавми Ӯ дамида мешуд, то ки онҳо бар поҳои худ истода, зинда мегардиданд. Мо бояд бубинем, ки роҳ танг аст ва дарвоза маҳдуд. Аммо ҳангоме ки мо аз дарвозаи танг мегузарем, фарохии он ҳадду канор надорад». Manuscript Releases, ҷилди 20, 217.</w:t>
      </w:r>
    </w:p>
    <w:p>
      <w:pPr>
        <w:pStyle w:val="ArticleBody"/>
        <w:jc w:val="left"/>
      </w:pPr>
      <w:r>
        <w:rPr>
          <w:rFonts w:ascii="Times New Roman" w:hAnsi="Times New Roman" w:eastAsia="Times New Roman" w:cs="Times New Roman"/>
        </w:rPr>
        <w:t>Роҳи Исломи войи сеюм ҳамон роҳи Билъом ва хари ӯст. Роҳи аспи ғазабноки Ислом, яъне чор боди фитнаи Юҳанно, боди сахти Ишаъё ва «бод» ё «нафас»-и Ҳизқиёл, ки аз чор бод меояд, аз 9/11 роҳеро тай мекунад, ки ба дарвозаи «танг» ва «рост» мебарад. Он дарвозаи танг нишонаи сеюми роҳ дар ҳикояи Билъом ва хари ӯст.</w:t>
      </w:r>
    </w:p>
    <w:p>
      <w:pPr>
        <w:pStyle w:val="ArticleScripture"/>
        <w:jc w:val="left"/>
      </w:pPr>
      <w:r>
        <w:rPr>
          <w:rFonts w:ascii="Times New Roman" w:hAnsi="Times New Roman" w:eastAsia="Times New Roman" w:cs="Times New Roman"/>
        </w:rPr>
        <w:t>Ва фариштаи Худованд пештар рафта, дар ҷойи танге истод, ки роҳи ба дасти рост ё ба дасти чап гардидан набуд. Ва ҳангоме ки модахар фариштаи Худовандро дид, вай зери Билъом афтод; ва ғазаби Билъом аланга гирифт, ва ӯ модахарро бо асо зад. Ва Худованд даҳони модахарро кушод, ва вай ба Билъом гуфт: «Ман ба ту чӣ кардаам, ки маро ин се бор задаӣ?» Ададҳо 22:26–28.</w:t>
      </w:r>
    </w:p>
    <w:p>
      <w:pPr>
        <w:pStyle w:val="ArticleBody"/>
        <w:jc w:val="left"/>
      </w:pPr>
      <w:r>
        <w:rPr>
          <w:rFonts w:ascii="Times New Roman" w:hAnsi="Times New Roman" w:eastAsia="Times New Roman" w:cs="Times New Roman"/>
        </w:rPr>
        <w:t>Роҳи войи сеюми ҳалокати Ислом аз 11-уми сентябр оғоз ёфт, ҳангоме ки Ваҳй 18:1–3 ба иҷро расид.</w:t>
      </w:r>
    </w:p>
    <w:p>
      <w:pPr>
        <w:pStyle w:val="ArticleScripture"/>
        <w:jc w:val="left"/>
      </w:pPr>
      <w:r>
        <w:rPr>
          <w:rFonts w:ascii="Times New Roman" w:hAnsi="Times New Roman" w:eastAsia="Times New Roman" w:cs="Times New Roman"/>
        </w:rPr>
        <w:t>«Оё акнун сухане пайдо шудааст, ки гӯё ман эълон карда бошам, ки Ню-Йорк бояд бо мавҷи азими баҳр рӯбучин гардад? Инро ман ҳаргиз нагуфтаам. Ман гуфтаам, ҳангоме ки ба биноҳои бузурге, ки дар он ҷо ошёна ба ошёна боло мерафтанд, менигаристам: “Чӣ манзараҳои даҳшатноке рух хоҳанд дод, вақте ки Худованд бархезад, то заминро ба шиддат биларзонад! Он гоҳ суханони Ваҳй 18:1–3 ба амал хоҳанд омад.” Тамоми боби ҳаждаҳуми китоби Ваҳй ҳушдорест аз он чи бар сари замин хоҳад омад. Аммо ман дар хусуси он чи махсусан бар Ню-Йорк хоҳад омад, нури хосе надорам, ҷуз ин ки медонам, ки рӯзе биноҳои азими он ҷо бо гардиш ва вожгунии қудрати Худо фурӯ андохта хоҳанд шуд. Аз нуре ки ба ман дода шудааст, ман медонам, ки ҳалокат дар ҷаҳон аст. Як сухан аз ҷониби Худованд, як ламс аз қудрати азими Ӯ, ва ин сохтмонҳои азим фурӯ хоҳанд рехт. Манзараҳое рӯй хоҳанд дод, ки даҳшати онҳоро мо наметавонем тасаввур кунем». Review and Herald, July 5, 1906.</w:t>
      </w:r>
    </w:p>
    <w:p>
      <w:pPr>
        <w:pStyle w:val="ArticleBody"/>
        <w:jc w:val="left"/>
      </w:pPr>
      <w:r>
        <w:rPr>
          <w:rFonts w:ascii="Times New Roman" w:hAnsi="Times New Roman" w:eastAsia="Times New Roman" w:cs="Times New Roman"/>
        </w:rPr>
        <w:t>Савол боқӣ мемонад: чаро Нэшвилл? Тӯбҳои оташи Нэшвилл як саҳнаи нубувватиро ифода мекунанд, ки дар он як табақаи адвентизм шарманда мегардад ва мувофиқи Юил, «бурида мешавад». Табақаи дигар ҳамчун касоне тасвир мешавад, ки ҳаргиз шарманда намешаванд ва аз шодӣ пур мебошанд. Шодии нубувватӣ на барои довариест, ки бар Нэшвилл ва Иёлоти Муттаҳида оварда шудааст, балки барои сафедшавиест, ки миёни онҳое дар масал намояндагӣ мешавад, ки равған доранд, ва онҳое ки равған надоранд. Ба равған маъниҳои рамзии бисёре вобастаанд, вале яке аз маъниҳои асосии равған паёми нидои нимашаб аст. Он паём дар охири соли 2023 тадриҷан кушода шудан гирифт ва он афзоиши донишро ифода мекард, ки ё рад карда мешавад ё пазируфта мешавад. Ҳушаъ равшан мегӯяд, ки онҳое ки донишро рад мекунанд, ҳамчун коҳинони Худо рад карда мешаванд. Петрус дар миёни сохтори Левизода бисту се ҷойгир аст, вақте ки ӯ тӯбҳои оташи Нэшвиллро мефаҳмад, ва рақами сӣ рамзи коҳинон аст.</w:t>
      </w:r>
    </w:p>
    <w:p>
      <w:pPr>
        <w:pStyle w:val="ArticleScripture"/>
        <w:jc w:val="left"/>
      </w:pPr>
      <w:r>
        <w:rPr>
          <w:rFonts w:ascii="Times New Roman" w:hAnsi="Times New Roman" w:eastAsia="Times New Roman" w:cs="Times New Roman"/>
        </w:rPr>
        <w:t>Қавми Ман аз набудани маърифат ҳалок мешавад; азбаски ту маърифатро рад кардаӣ, Ман низ туро рад хоҳам кард, то ки дигар коҳини Ман набошӣ; чунки ту шариати Худои худро фаромӯш кардаӣ, Ман низ фарзандони туро фаромӯш хоҳам кард. Ҳушаъ 4:6.</w:t>
      </w:r>
    </w:p>
    <w:p>
      <w:pPr>
        <w:pStyle w:val="ArticleBody"/>
        <w:jc w:val="left"/>
      </w:pPr>
      <w:r>
        <w:rPr>
          <w:rFonts w:ascii="Times New Roman" w:hAnsi="Times New Roman" w:eastAsia="Times New Roman" w:cs="Times New Roman"/>
        </w:rPr>
        <w:t>Масъалаи «дониш» ё набудани он, яке аз ҳақиқатҳоест, ки бо расидани оташгӯлаҳои Нашвилл алоқаманд аст. «Дониши» нубувватӣ ё набудани он, оғози эълони нидои нимашабро нишон медиҳад, ва он давра бо масъалаи итоат ба Каломи Худо анҷом меёбад, чунон ки дар масъалаи шанбе ва якшанбе ифода шудааст. Масеҳ ҳамеша анҷомро бо ибтидо нишон медиҳад, ва дар ибтидо итоат ба Каломи Худо ҳамон паёми ҳушдор буд, ки ба Одаму Ҳавво дар боғ дода шуд.</w:t>
      </w:r>
    </w:p>
    <w:p>
      <w:pPr>
        <w:pStyle w:val="ArticleBody"/>
        <w:jc w:val="left"/>
      </w:pPr>
      <w:r>
        <w:rPr>
          <w:rFonts w:ascii="Times New Roman" w:hAnsi="Times New Roman" w:eastAsia="Times New Roman" w:cs="Times New Roman"/>
        </w:rPr>
        <w:t>Масъалаи итоаткорӣ дар охир наметавонад ба як боғи ягона маҳдуд карда шавад, агар, чунон ки хоҳар Уайт мегӯяд, «ҳар миллат ҷалб хоҳад шуд». Масъалаи шанбе ва якшанбе такрори озмоиши ибтидоии Одам ва Ҳавво дар боғ аст, ки дар охир дар тамоми ҷаҳон такрор мешавад. Он озмоиш аз қонуни якшанбе дар Иёлоти Муттаҳида оғоз меёбад, ки ҳамчунин анҷоми давраи эълони нидои нисфи шаб мебошад.</w:t>
      </w:r>
    </w:p>
    <w:p>
      <w:pPr>
        <w:pStyle w:val="ArticleBody"/>
        <w:jc w:val="left"/>
      </w:pPr>
      <w:r>
        <w:rPr>
          <w:rFonts w:ascii="Times New Roman" w:hAnsi="Times New Roman" w:eastAsia="Times New Roman" w:cs="Times New Roman"/>
        </w:rPr>
        <w:t>Эълони паёми огоҳкунандае, ки Масеҳ меояд, танҳо ба онҳое дода шудааст, ки афзоиши донишро аз кушода шудани муҳри паёми вахйи Исои Масеҳ, ки дар охири соли 2023 оғоз ёфт, пазируфтаанд. Имтиҳони дониш, ё набудани он, дар ҳамлаи Нашвилл ниҳоӣ мегардад. Санҷиши муайянкунанда, аз миёни се санҷише, ки бо кушода шудани муҳр дар соли 2023 оғоз ёфт, бар равған асос ёфтааст, ки «дониш»-ест, ки дар дохили паёми нубувватӣ ҷой дорад ва он вақт кушода шуд.</w:t>
      </w:r>
    </w:p>
    <w:p>
      <w:pPr>
        <w:pStyle w:val="ArticleBody"/>
        <w:jc w:val="left"/>
      </w:pPr>
      <w:r>
        <w:rPr>
          <w:rFonts w:ascii="Times New Roman" w:hAnsi="Times New Roman" w:eastAsia="Times New Roman" w:cs="Times New Roman"/>
        </w:rPr>
        <w:t>«Дониши» мӯҳркушодашуда озмоиш мекунад ва дар ниҳоят, ҳамчун равғане ки озмоиши сеюм ва озмоиши лакмусӣ аст, зоҳир мегардад. Он озмоиш давраи эълони паёми нидои нисфишабиро оғоз мекунад, ки бо озмоиши итоат анҷом меёбад. Он озмоиши итоат бар Ҳавво, ки калисоро намояндагӣ мекунад, ва Одам, ки давлатро намояндагӣ мекунад, иҷро мегардад. Иттиҳоди ин ду воҳид ҳангоме ниҳоӣ мегардад, ки нишонаи ҳайвони ваҳшӣ ҷорӣ карда шавад. Озмоиш дар боғ ҳамон озмоишест дар поён. Ин озмоишест барои мардон ва занон, ки дарбаргирандаи иттиҳоди калисо ва давлат аст, ки мард ва зан мебошанд. Паёми ҳушдордиҳандае, ки мӯҳркушода шуда, ба озмоиши ниҳоии итоат мерасонад, бо дарахти «дониши» неку бад намояндагӣ мешавад.</w:t>
      </w:r>
    </w:p>
    <w:p>
      <w:pPr>
        <w:pStyle w:val="ArticleBody"/>
        <w:jc w:val="left"/>
      </w:pPr>
      <w:r>
        <w:rPr>
          <w:rFonts w:ascii="Times New Roman" w:hAnsi="Times New Roman" w:eastAsia="Times New Roman" w:cs="Times New Roman"/>
        </w:rPr>
        <w:t>Нашвилл рамзи маорифи юнонӣ дар замини ҳайвони замин аст. Маорифи юнонӣ маорифи бардурӯғ аст; он дониши шарирона мебошад, ва дониши нек маорифи ҳақиқист. Ягона ҳайати идоракунии муассисавие, ки Эллен Уайт ҳаргиз ба иштирок дар он розӣ шуд, Коллеҷи Мэдисон буд, ки дар Нашвилл ҷойгир аст ва «Афинаи Ҷануб» номида мешавад. Нашвилл рамзи маорифи юнонӣ, ё маорифи бардурӯғ, аст. Маорифи бардурӯғ дониши бардурӯғ аст. Аҳамияти Нашвилл бо рамзгузории шаҳри Ню-Йорк ва Пентагон ҳамсон аст.</w:t>
      </w:r>
    </w:p>
    <w:p>
      <w:pPr>
        <w:pStyle w:val="ArticleBody"/>
        <w:jc w:val="left"/>
      </w:pPr>
      <w:r>
        <w:rPr>
          <w:rFonts w:ascii="Times New Roman" w:hAnsi="Times New Roman" w:eastAsia="Times New Roman" w:cs="Times New Roman"/>
        </w:rPr>
        <w:t>Мо ин мавзӯъҳоро дар мақолаи навбатӣ идома хоҳем дод.</w:t>
      </w:r>
    </w:p>
    <w:p>
      <w:pPr>
        <w:pStyle w:val="ArticleHeading"/>
        <w:jc w:val="left"/>
      </w:pPr>
      <w:r>
        <w:rPr>
          <w:rFonts w:ascii="Arial" w:hAnsi="Arial" w:eastAsia="Arial" w:cs="Arial"/>
        </w:rPr>
        <w:t>Дастнависи 188, 1905</w:t>
      </w:r>
    </w:p>
    <w:p>
      <w:pPr>
        <w:pStyle w:val="ArticleScripture"/>
        <w:jc w:val="left"/>
      </w:pPr>
      <w:r>
        <w:rPr>
          <w:rFonts w:ascii="Times New Roman" w:hAnsi="Times New Roman" w:eastAsia="Times New Roman" w:cs="Times New Roman"/>
        </w:rPr>
        <w:t>«Вақте ки ман дар Нашвилл будам, ба мардум сухан мегуфтам, ва дар фасли шаб тӯби азими оташе падид омад, ки рост аз осмон фуруд омада, бар Нашвилл қарор гирифт. Аз он тӯб шуълаҳо чун тирҳо берун меҷастанд; хонаҳо дар коми оташ фурӯ мерафтанд; хонаҳо меларзиданд ва фурӯ меафтоданд. Баъзе аз одамони мо дар он ҷо истода буданд. “Ин айнан ҳамон аст, ки мо интизор будем,” гуфтанд онҳо, “мо инро интизор будем.” Дигарон аз шиддати дард дастҳои худро мефишурданд ва сӯи Худо барои раҳм нола мекарданд. “Шумо медонистед,” гуфтанд онҳо, “шумо медонистед, ки ин меомад, ва барои огоҳ кардани мо ҳаргиз як сухан ҳам нагуфтед!” Чунон менамуд, ки онҳо қариб буд пора-пораашон кунанд, аз он ки ҳеҷ гоҳ ба онҳо нагуфта буданд ва ба ҳеҷ ваҷҳ онҳоро огоҳ накарда буданд». Дастнависи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Даҳ</dc:title>
  <dc:subject>Нуқтаи миёна</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