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 рӯъёро барқарор месозад — рақами дуюм</w:t>
      </w:r>
    </w:p>
    <w:p>
      <w:pPr>
        <w:pStyle w:val="ArticleSubtitle"/>
        <w:jc w:val="left"/>
      </w:pPr>
      <w:r>
        <w:rPr>
          <w:rFonts w:ascii="Arial" w:hAnsi="Arial" w:eastAsia="Arial" w:cs="Arial"/>
        </w:rPr>
        <w:t>Муайян кардани Рими муосир ва рӯъёи нубувватӣ дар рӯзҳои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Ва дар он замонҳо бисёре ба муқобили подшоҳи ҷануб бармехезанд; ҳамчунин золимони қавми ту худро боло хоҳанд бардошт, то рӯъёро барқарор созанд; аммо онҳо фурӯ хоҳанд афтод. Дониёл 11:14.</w:t>
      </w:r>
    </w:p>
    <w:p>
      <w:pPr>
        <w:pStyle w:val="ArticleBody"/>
        <w:jc w:val="left"/>
      </w:pPr>
      <w:r>
        <w:rPr>
          <w:rFonts w:ascii="Times New Roman" w:hAnsi="Times New Roman" w:eastAsia="Times New Roman" w:cs="Times New Roman"/>
        </w:rPr>
        <w:t>Муайян кардани дурусти он қудрате, ки дар рӯзҳои охир ҳамчун Руми Муҷаддад тасвир мешавад, ва бинобар ин ҳамон қудрате мебошад, ки «руъёро барқарор месозад», амре асосӣ ва наҷотбахш аст. Ин як унсури раванди ниҳоии имтиҳони яксаду чилу чор ҳазорро ифода менамояд. Калимаи «руъё» дар ин оят ҳамон калимаи ибрӣ аст, ки Сулаймон ҳангоми баён кардани сабаби ҳалок шудани қавми Худо интихоб карда буд.</w:t>
      </w:r>
    </w:p>
    <w:p>
      <w:pPr>
        <w:pStyle w:val="ArticleScripture"/>
        <w:jc w:val="left"/>
      </w:pPr>
      <w:r>
        <w:rPr>
          <w:rFonts w:ascii="Times New Roman" w:hAnsi="Times New Roman" w:eastAsia="Times New Roman" w:cs="Times New Roman"/>
        </w:rPr>
        <w:t>Ҳар ҷо ки рӯъё нест, мардум ҳалок мешаванд; вале касе ки шариатро нигоҳ медорад, саодатманд аст. Масалҳо 29:18.</w:t>
      </w:r>
    </w:p>
    <w:p>
      <w:pPr>
        <w:pStyle w:val="ArticleBody"/>
        <w:jc w:val="left"/>
      </w:pPr>
      <w:r>
        <w:rPr>
          <w:rFonts w:ascii="Times New Roman" w:hAnsi="Times New Roman" w:eastAsia="Times New Roman" w:cs="Times New Roman"/>
        </w:rPr>
        <w:t>Ҳамаи анбиё дар бораи айёми охир назар ба ҳар давраи дигари таърихи муқаддас мустақимтар сухан мегӯянд, ва ҳушдори Сулаймон дар бораи зарурати соҳиб будан ба «рӯъё» масъалаи ҳаёт ё мамот аст. Ҳақиқат ҳамеша ҷудоӣ меоварад ва ду синфи парастишкунандагонро падид меорад. Дар ин оят синфе ҳаст, ки ҳалок мешавад, ва синфе ҳаст, ки бо хурсандӣ шариатро нигоҳ медорад. Бо вуҷуди ин, бояд қайд кард, ки насиҳати Сулаймон дар заминаи ихтилофе бар сари «ҳақиқат» ҷой дода шудааст. Ин ҳамчунин дар заминаи масали даҳ бокира аст, зеро масали даҳ бокира намунаи асосии таҷрибаи қавми Худо дар айёми охир мебошад.</w:t>
      </w:r>
    </w:p>
    <w:p>
      <w:pPr>
        <w:pStyle w:val="ArticleScripture"/>
        <w:jc w:val="left"/>
      </w:pPr>
      <w:r>
        <w:rPr>
          <w:rFonts w:ascii="Times New Roman" w:hAnsi="Times New Roman" w:eastAsia="Times New Roman" w:cs="Times New Roman"/>
        </w:rPr>
        <w:t>Аблаҳ тамоми фикри дили худро берун мерезад; аммо марди ҳикматманд онро то баъд нигоҳ медорад. Агар ҳоким ба дурӯғ гӯш диҳад, ҳамаи хизматгоронаш бадкор мегарданд. Камбағал ва марди фиребгар бо ҳам рӯ ба рӯ мешаванд; Худованд чашмони ҳар дуи онҳоро равшан месозад. Подшоҳе ки камбағалонро бо вафодорӣ доварӣ мекунад, тахти ӯ то абад устувор хоҳад монд. Асо ва сарзаниш ҳикмат мебахшанд; аммо кӯдаке ки ба ҳоли худ гузошта шудааст, модари худро ба шарм меоварад. Вақте ки бадкорон афзун мешаванд, гуноҳ меафзояд; аммо одилон суқути онҳоро хоҳанд дид. Писари худро тарбия намо, ва ӯ ба ту осоиш хоҳад дод; оре, ӯ ба ҷони ту лаззат хоҳад бахшид. Дар он ҷо ки рӯъё нест, мардум ҳалок мешаванд; аммо ҳар кӣ шариатро нигоҳ медорад, хушо ҳоли ӯ. Масалҳо 29:11–18.</w:t>
      </w:r>
    </w:p>
    <w:p>
      <w:pPr>
        <w:pStyle w:val="ArticleBody"/>
        <w:jc w:val="left"/>
      </w:pPr>
      <w:r>
        <w:rPr>
          <w:rFonts w:ascii="Times New Roman" w:hAnsi="Times New Roman" w:eastAsia="Times New Roman" w:cs="Times New Roman"/>
        </w:rPr>
        <w:t>Мақсади ман ин нест, ки бар касоне, ки шояд дар бораи Руми муосир аз ман фаҳмиши дигаре доранд, ангушти айбгузорӣ намоям. Мақсади ман ин аст, ки нишон диҳам: Сулаймон ба ду табақаи ибодаткунандагон муроҷиат мекунад, ки онҳоро «хирадманд» ва «аблаҳ» меномад. «Аблаҳ» ҳамчунин ҳамчун «шарир» шинохта мешавад. Бокираҳои хирадманд ва аблаҳи масал низ дар хатти нубувватии боби дувоздаҳуми Дониёл ҳамчун хирадмандон ва шарирон шинохта шудаанд.</w:t>
      </w:r>
    </w:p>
    <w:p>
      <w:pPr>
        <w:pStyle w:val="ArticleScripture"/>
        <w:jc w:val="left"/>
      </w:pPr>
      <w:r>
        <w:rPr>
          <w:rFonts w:ascii="Times New Roman" w:hAnsi="Times New Roman" w:eastAsia="Times New Roman" w:cs="Times New Roman"/>
        </w:rPr>
        <w:t>Бисёре пок хоҳанд шуд, ва сафед гардонида хоҳанд шуд, ва озмуда хоҳанд шуд; вале бадкорон бадкорона амал хоҳанд кард: ва ҳеҷ яке аз бадкорон нахоҳад фаҳмид; аммо хирадмандон хоҳанд фаҳмид. Дониёл 12:10.</w:t>
      </w:r>
    </w:p>
    <w:p>
      <w:pPr>
        <w:pStyle w:val="ArticleBody"/>
        <w:jc w:val="left"/>
      </w:pPr>
      <w:r>
        <w:rPr>
          <w:rFonts w:ascii="Times New Roman" w:hAnsi="Times New Roman" w:eastAsia="Times New Roman" w:cs="Times New Roman"/>
        </w:rPr>
        <w:t>Сулаймон ва Дониёл бо якдигар мувофиқанд, зеро тамоми шаҳодати нубувватӣ дар айёми охир мутобиқат дорад. Хирадмандон «афзоиши дониш»-ро дарк мекунанд.</w:t>
      </w:r>
    </w:p>
    <w:p>
      <w:pPr>
        <w:pStyle w:val="ArticleScripture"/>
        <w:jc w:val="left"/>
      </w:pPr>
      <w:r>
        <w:rPr>
          <w:rFonts w:ascii="Times New Roman" w:hAnsi="Times New Roman" w:eastAsia="Times New Roman" w:cs="Times New Roman"/>
        </w:rPr>
        <w:t>Ва хирадмандон мисли дурахши осмон хоҳанд дурахшид; ва онҳое ки бисёронро ба адолат роҳнамоӣ мекунанд, мисли ситорагон то абад ва ҷовидон. Аммо ту, эй Дониёл, ин суханонро маҳкам нигоҳ дор, ва китобро то вақти охир мӯҳр кун: бисёре ба ҳар сӯ шитофт хоҳанд кард, ва дониш афзун хоҳад шуд. Дониёл 12:3, 4.</w:t>
      </w:r>
    </w:p>
    <w:p>
      <w:pPr>
        <w:pStyle w:val="ArticleBody"/>
        <w:jc w:val="left"/>
      </w:pPr>
      <w:r>
        <w:rPr>
          <w:rFonts w:ascii="Times New Roman" w:hAnsi="Times New Roman" w:eastAsia="Times New Roman" w:cs="Times New Roman"/>
        </w:rPr>
        <w:t>Ояти даҳум раванди сеқадамаи имтиҳонро муайян мекунад, ки бокирагонро, ки даъват шудаанд то дар шумори яксаду чилу чаҳор ҳазор бошанд, ҷудо месозад. Дар ҳар ду ҳолат, раванди ҷудокунии имтиҳон ва санҷиш бар он асос меёбад, ки оё бокирагон афзоиши донишро (рӯъёро), ки дар вақти охир дар соли 1989 мӯҳраш кушода шуд, мефаҳманд ё не.</w:t>
      </w:r>
    </w:p>
    <w:p>
      <w:pPr>
        <w:pStyle w:val="ArticleBody"/>
        <w:jc w:val="left"/>
      </w:pPr>
      <w:r>
        <w:rPr>
          <w:rFonts w:ascii="Times New Roman" w:hAnsi="Times New Roman" w:eastAsia="Times New Roman" w:cs="Times New Roman"/>
        </w:rPr>
        <w:t>«Замони интиҳо» дар айёми охир соли 1989 буд, вақте ки оятҳои чиҳил то чиҳилу панҷи Дониёл ёздаҳ муҳркушоӣ шуданд. Он вақт муқаррар гардид, ки мавзӯи ин оятҳо болоравӣ ва суқути ниҳоии подшоҳи шимол аст. Он вақт муқаррар гардид, ки подшоҳи шимол дар ин оятҳо қудрати папавии айёми охир мебошад. Илҳом ҳеҷ гоҳ ибораи «Руми муосир»-ро истифода намекунад. Ин ибораро ман ихтироъ кардаам, то қудрати папавии айёми охирро ифода намояд, зеро аз назари нубувватӣ «муосир» айёми охирро ифода мекунад. Эллен Уайт низ ҳеҷ гоҳ ибораи «Руми муосир»-ро истифода накардааст.</w:t>
      </w:r>
    </w:p>
    <w:p>
      <w:pPr>
        <w:pStyle w:val="ArticleBody"/>
        <w:jc w:val="left"/>
      </w:pPr>
      <w:r>
        <w:rPr>
          <w:rFonts w:ascii="Times New Roman" w:hAnsi="Times New Roman" w:eastAsia="Times New Roman" w:cs="Times New Roman"/>
        </w:rPr>
        <w:t>Дар бораи он ки подшоҳи шимол дар шаш ояти охирини боби ёздаҳуми Дониёл киро ифода мекунад, ақидаҳои нодуруст вуҷуд доранд, аммо танҳо як фаҳмиши дуруст ҳаст. Фаҳмише, ки подшоҳи шимол дар он оятҳо қудрати папавӣ мебошад, аз бисёр шоҳидони нубувватӣ бармеояд. Ояти чилум бо муайян намудани он оғоз меёбад, ки папагӣ дар соли 1798 захми марговар гирифт; сипас оятҳои чилу як то чилу се динамикае, ки дар шифо ёфтани он захми марговар иштирок доранд, муайян мекунанд. Ояти чилу чорум паёмеро тасвир мекунад, ки папагиро ба хашм меоварад ва ба ояти чилу панҷум мебарад, ки дар он қудрати папавӣ ба анҷоми ниҳоӣ ва комили худ мерасад. Рӯъёе, ки дар соли 1989 мӯҳраш кушода шуд, рӯъёи болоравӣ ва суқути ниҳоии қудрати папавӣ дар айёми охир аст. Он рӯъё афзоиши донишест, ки бар асоси пазируфтан ё рад кардани донише, ки дар он оятҳо ҷойгир аст, ду табақаи ибодаткунандагонро ба вуҷуд меорад ва зоҳир менамояд.</w:t>
      </w:r>
    </w:p>
    <w:p>
      <w:pPr>
        <w:pStyle w:val="ArticleBody"/>
        <w:jc w:val="left"/>
      </w:pPr>
      <w:r>
        <w:rPr>
          <w:rFonts w:ascii="Times New Roman" w:hAnsi="Times New Roman" w:eastAsia="Times New Roman" w:cs="Times New Roman"/>
        </w:rPr>
        <w:t>Мувофиқи ҳамон бобе ки дар он афзоиши дониш дар соли 1989 мӯҳркушоӣ гардид, «ғоратгарони қавми ту», ки «худро боло мебардоранд» ва дар ниҳоят «меафтанд», ҳамон рамзе мебошанд, ки «руъё»-ро барқарор месозад. Дар ҷудокунии ниҳоӣ, саволи нахустини имтиҳон ин аст, ки кӣ ҳамчун «ғоратгарони қавми ту» муаррифӣ мешавад, зеро онҳо ҳамон рамзи нубувватӣ мебошанд, ки «руъё»-ро барқарор месозад. Оё ғоратгарон қудрати папагӣ ҳастанд ё Иёлоти Муттаҳида?</w:t>
      </w:r>
    </w:p>
    <w:p>
      <w:pPr>
        <w:pStyle w:val="ArticleBody"/>
        <w:jc w:val="left"/>
      </w:pPr>
      <w:r>
        <w:rPr>
          <w:rFonts w:ascii="Times New Roman" w:hAnsi="Times New Roman" w:eastAsia="Times New Roman" w:cs="Times New Roman"/>
        </w:rPr>
        <w:t>Китобҳои Дониёл ва Ваҳй як китобанд, ки ду шоҳиди як хатти нубувватро ифода мекунанд. Дониёл оғоз аст ва Ваҳй анҷом, ва онҳо якҷоя ду шоҳиди он ҳақиқатро намояндагӣ мекунанд, ки дар вақти охир, дар соли 1989, кушода мешавад.</w:t>
      </w:r>
    </w:p>
    <w:p>
      <w:pPr>
        <w:pStyle w:val="ArticleBody"/>
        <w:jc w:val="left"/>
      </w:pPr>
      <w:r>
        <w:rPr>
          <w:rFonts w:ascii="Times New Roman" w:hAnsi="Times New Roman" w:eastAsia="Times New Roman" w:cs="Times New Roman"/>
        </w:rPr>
        <w:t>Дониёл раванди поксозиро тасвир мекунад, ки ҳангоме ба вуҷуд омад, ки Шери сибти Яҳудо дар соли 1989 оятҳои чиҳил то чиҳилу панҷро муҳркушоӣ кард. Дар он вақт раванди озмоише оғоз ёфт, то муайян ва зоҳир гардад, ки кӣ «коҳинон»-е хоҳад буд, ки қавми аҳдро ташкил медиҳанд, яъне он яксаду чиҳилу чор ҳазорро дар айёми охир. Ҳушаъ меафзояд, ки онҳое ки афзоиши донишро дар айёми охир рад мекунанд, яке аз он коҳиноне нахоҳанд шуд, ки он яксаду чиҳилу чор ҳазорро ташкил медиҳанд.</w:t>
      </w:r>
    </w:p>
    <w:p>
      <w:pPr>
        <w:pStyle w:val="ArticleScripture"/>
        <w:jc w:val="left"/>
      </w:pPr>
      <w:r>
        <w:rPr>
          <w:rFonts w:ascii="Times New Roman" w:hAnsi="Times New Roman" w:eastAsia="Times New Roman" w:cs="Times New Roman"/>
        </w:rPr>
        <w:t>Қавми Ман аз набудани дониш ҳалок мешаванд; зеро ту донишро рад кардаӣ, Ман низ туро рад хоҳам кард, то ки барои Ман коҳин набошӣ; ва чун ту шариати Худои худро фаромӯш кардаӣ, Ман низ фарзандони туро фаромӯш хоҳам кард. Ҳушаъ 4:6.</w:t>
      </w:r>
    </w:p>
    <w:p>
      <w:pPr>
        <w:pStyle w:val="ArticleBody"/>
        <w:jc w:val="left"/>
      </w:pPr>
      <w:r>
        <w:rPr>
          <w:rFonts w:ascii="Times New Roman" w:hAnsi="Times New Roman" w:eastAsia="Times New Roman" w:cs="Times New Roman"/>
        </w:rPr>
        <w:t>Китоби Ваҳй нишон медиҳад, ки он дониш, ки мӯҳраш бардошта шудааст ва аз ҷониби як синф рад мегардад, маҳз пеш аз баста шудани муҳлати имтиҳон сабаби радшавии онҳо мегардад.</w:t>
      </w:r>
    </w:p>
    <w:p>
      <w:pPr>
        <w:pStyle w:val="ArticleScripture"/>
        <w:jc w:val="left"/>
      </w:pPr>
      <w:r>
        <w:rPr>
          <w:rFonts w:ascii="Times New Roman" w:hAnsi="Times New Roman" w:eastAsia="Times New Roman" w:cs="Times New Roman"/>
        </w:rPr>
        <w:t>Ва ӯ ба ман гуфт: «Суханони нубуввати ин китобро мӯҳр накун, зеро вақт наздик аст. Бигзор золим ҳанӯз зулм кунад; ва нопок ҳанӯз нопок бимонад; ва одил ҳанӯз адолат намояд; ва муқаддас ҳанӯз муқаддас бимонад». Ваҳй 22:10, 11.</w:t>
      </w:r>
    </w:p>
    <w:p>
      <w:pPr>
        <w:pStyle w:val="ArticleBody"/>
        <w:jc w:val="left"/>
      </w:pPr>
      <w:r>
        <w:rPr>
          <w:rFonts w:ascii="Times New Roman" w:hAnsi="Times New Roman" w:eastAsia="Times New Roman" w:cs="Times New Roman"/>
        </w:rPr>
        <w:t>Таърихи миллериён таърихи саду чиҳилу чаҳор ҳазорро нишон медиҳад, ва миллериён ҳамроҳ бо саду чиҳилу чаҳор ҳазор якҷоя оғози паём ва кори се фариштаи боби чордаҳуми Ваҳйро, инчунин анҷоми онро, ифода мекунанд. Ин таърихҳои мувозӣ воқеаҳои вобаста ба хатми муҳлати файзро муайян месозанд. Кори ҳар ду таърих ба воситаи Илёс ва Яҳёи Таъмиддиҳанда ба таври рамзӣ пешнамоиш дода шудааст.</w:t>
      </w:r>
    </w:p>
    <w:p>
      <w:pPr>
        <w:pStyle w:val="ArticleScripture"/>
        <w:jc w:val="left"/>
      </w:pPr>
      <w:r>
        <w:rPr>
          <w:rFonts w:ascii="Times New Roman" w:hAnsi="Times New Roman" w:eastAsia="Times New Roman" w:cs="Times New Roman"/>
        </w:rPr>
        <w:t>«Бо ларза, Вилям Миллер ба мардум кушодани асрори Малакути Худоро оғоз намуд ва шунавандагони худро тавассути пешгӯиҳо то ба омадани дуюми Масеҳ роҳнамоӣ кард. Бо ҳар кӯшише, ки мекард, қувват мегирифт. Чунон ки Яҳёи Таъмиддиҳанда омадани нахустини Исоеро башорат дода, роҳи омадани Ӯро омода сохт, ҳамон тавр Вилям Миллер ва онҳое ки бо ӯ ҳамроҳ шуданд, омадани дуюми Писари Худоро эълон карданд». Early Writings, 229, 230.</w:t>
      </w:r>
    </w:p>
    <w:p>
      <w:pPr>
        <w:pStyle w:val="ArticleBody"/>
        <w:jc w:val="left"/>
      </w:pPr>
      <w:r>
        <w:rPr>
          <w:rFonts w:ascii="Times New Roman" w:hAnsi="Times New Roman" w:eastAsia="Times New Roman" w:cs="Times New Roman"/>
        </w:rPr>
        <w:t>Паёми миллерӣ «рӯйдодҳо»-и вобаста ба анҷоми муҳлати имтиҳонро, чунонки ҳам дар симои Илёс ва ҳам Яҳёи Таъмиддиҳанда ифода ёфтаанд, муайян кард.</w:t>
      </w:r>
    </w:p>
    <w:p>
      <w:pPr>
        <w:pStyle w:val="ArticleScripture"/>
        <w:jc w:val="left"/>
      </w:pPr>
      <w:r>
        <w:rPr>
          <w:rFonts w:ascii="Times New Roman" w:hAnsi="Times New Roman" w:eastAsia="Times New Roman" w:cs="Times New Roman"/>
        </w:rPr>
        <w:t>«Лозим буд, ки одамон аз хатари худ бедор карда шаванд; ки онҳо барангехта шаванд, то ба воқеаҳои ҷиддие, ки бо анҷоми вақти файз алоқаманданд, омода гарданд». The Great Controversy, 310.</w:t>
      </w:r>
    </w:p>
    <w:p>
      <w:pPr>
        <w:pStyle w:val="ArticleBody"/>
        <w:jc w:val="left"/>
      </w:pPr>
      <w:r>
        <w:rPr>
          <w:rFonts w:ascii="Times New Roman" w:hAnsi="Times New Roman" w:eastAsia="Times New Roman" w:cs="Times New Roman"/>
        </w:rPr>
        <w:t>Соли 1989, бо фурӯпошии Иттиҳоди Шӯравӣ он қисми китоби Дониёл, ки ба айёми охир дахл дошт, аз муҳр бароварда шуд ва раванди имтиҳон оғоз ёфт. Ин имтиҳон бар қобилият ё нотавонии қавми Худо барои дарк намудан ё рад кардани афзоиши дониш, ки дар шаш ояти охирини боби ёздаҳуми Дониёл муаррифӣ шудааст, асос меёфт; оятҳое, ки ба ояти якуми боби дувоздаҳум мерасонанд, ки «анҷоми муҳлати озмоиш»-ро муайян мекунад. Сипас паёми «рӯйдодҳои вобаста ба анҷоми муҳлати озмоиш» аз муҳр бароварда шуд, ва кори онҳое, ки номзад буданд то «коҳинон»-и саду чилу чор ҳазор бошанд, оғоз гардид. Кори онҳо ин буд, ки паёмеро, ки дар он порча ифода ёфтааст, «дарк намоянд» ва эълон кунанд. Паём ва кори саду чилу чор ҳазор ин буд, ки паёми аз муҳр баровардашударо пешкаш намоянд, то мардумро бедор созанд, «то барои рӯйдодҳои ҷиддии вобаста ба анҷоми муҳлати озмоиш омода шаванд».</w:t>
      </w:r>
    </w:p>
    <w:p>
      <w:pPr>
        <w:pStyle w:val="ArticleScripture"/>
        <w:jc w:val="left"/>
      </w:pPr>
      <w:r>
        <w:rPr>
          <w:rFonts w:ascii="Times New Roman" w:hAnsi="Times New Roman" w:eastAsia="Times New Roman" w:cs="Times New Roman"/>
        </w:rPr>
        <w:t>«Имрӯз, дар рӯҳ ва қудрати Илёс ва Яҳёи Таъмиддиҳанда, фиристодагони таъйинкардаи Худо диққати ҷаҳонеро, ки ба доварӣ маҳкум аст, ба рӯйдодҳои ҷиддие ҷалб мекунанд, ки ба зудӣ дар иртибот бо соатҳои поёнии давраи имтиёз ва зуҳури Масеҳ Исо ҳамчун Подшоҳи подшоҳон ва Худованди худовандон ба вуқӯъ хоҳанд пайваст. Ба зудӣ ҳар як инсон барои аъмоле, ки дар ҷисм анҷом додааст, доварӣ хоҳад шуд. Соати доварии Худо фаро расидааст, ва бар аъзои калисои Ӯ бар рӯйи замин масъулияти ҷиддии огоҳ кардани онҳое вогузор шудааст, ки гӯё бар лаби вартаи ҳалокати абадӣ қарор доранд. Ба ҳар як инсон дар саросари ҷаҳон, ки гӯш хоҳад дод, бояд равшан гардонда шавад, ки кадом усулҳо дар ин муборизаи бузурге, ки ҷараён дорад, мавриди баҳсанд, усулҳое, ки сарнавишти тамоми инсоният аз онҳо овезон аст». «Пайғамбарон ва подшоҳон», 715, 716.</w:t>
      </w:r>
    </w:p>
    <w:p>
      <w:pPr>
        <w:pStyle w:val="ArticleBody"/>
        <w:jc w:val="left"/>
      </w:pPr>
      <w:r>
        <w:rPr>
          <w:rFonts w:ascii="Times New Roman" w:hAnsi="Times New Roman" w:eastAsia="Times New Roman" w:cs="Times New Roman"/>
        </w:rPr>
        <w:t>Таърихи Яҳёи Таъмиддиҳанда ва Масеҳ, ҳамчунин таърихи миллеритҳо, паём ва кори саду чилу чор ҳазорро тасвир мекунад. Ҳам Яҳё ва ҳам Масеҳ паёми худро ҳамчун ифодаи анҷоми муҳлати имтиҳон дарк мекарданд.</w:t>
      </w:r>
    </w:p>
    <w:p>
      <w:pPr>
        <w:pStyle w:val="ArticleScripture"/>
        <w:jc w:val="left"/>
      </w:pPr>
      <w:r>
        <w:rPr>
          <w:rFonts w:ascii="Times New Roman" w:hAnsi="Times New Roman" w:eastAsia="Times New Roman" w:cs="Times New Roman"/>
        </w:rPr>
        <w:t>Аммо чун бисёре аз фарисиён ва саддуқиёнро дид, ки назди таъмиди ӯ меомаданд, ба онҳо гуфт: Эй насли афъиҳо, кист, ки шуморо огоҳ кардааст, то аз ғазаби оянда бигурезед? Матто 3:7.</w:t>
      </w:r>
    </w:p>
    <w:p>
      <w:pPr>
        <w:pStyle w:val="ArticleBody"/>
        <w:jc w:val="left"/>
      </w:pPr>
      <w:r>
        <w:rPr>
          <w:rFonts w:ascii="Times New Roman" w:hAnsi="Times New Roman" w:eastAsia="Times New Roman" w:cs="Times New Roman"/>
        </w:rPr>
        <w:t>Масеҳ вайроншавии Уршалимро, ҳамон вайроншавиеро, ки Юҳанно яҳудиёни муҷодилапешаро аз он огоҳ карда буд, ҳамчун ҳодисаи наздикшаванда пеш овард. Исо ин вайроншавиро ҳамчун рамзи «ғазабе» истифода бурд, ки ҳангоме оғоз меёбад, ки Ӯ, ҳамчун Микоил, дар боби дувоздаҳуми китоби Дониёл, ояти як, бармехезад.</w:t>
      </w:r>
    </w:p>
    <w:p>
      <w:pPr>
        <w:pStyle w:val="ArticleScripture"/>
        <w:jc w:val="left"/>
      </w:pPr>
      <w:r>
        <w:rPr>
          <w:rFonts w:ascii="Times New Roman" w:hAnsi="Times New Roman" w:eastAsia="Times New Roman" w:cs="Times New Roman"/>
        </w:rPr>
        <w:t>«Масеҳ дар Ерусалим рамзи ҷаҳонеро медид, ки дар беимонӣ ва исён сахтдил гардида, ба сӯи пешвози довариҳои ҷазодиҳандаи Худо шитобон меравад. Андӯҳҳои насли суқуткарда, ки бар ҷони Ӯ фишор меоварданд, аз лабони Ӯ он нидои бағоят талхро берун оварданд. Ӯ сабти гуноҳро дид, ки дар бадбахтии инсон, ашкҳо ва хун нақш баста буд; дили Ӯ бо шафқати бепоён нисбат ба озурдагон ва ранҷкашони замин ба ҳаракат омад; Ӯ орзуманд буд, ки ба ҳамаи онҳо осоиш бахшад. Вале ҳатто дасти Ӯ низ наметавонист мавҷи мусибати инсониро бозгардонад; андаке буданд онҳое ки Ягона Манбаи кӯмаки худро меҷустанд. Ӯ омода буд ҷони Худро то ба марг бирезад, то наҷотро дар доираи дастрасии онҳо қарор диҳад; вале андаке ба назди Ӯ меомаданд, то ҳаёт ёбанд.»</w:t>
      </w:r>
    </w:p>
    <w:p>
      <w:pPr>
        <w:pStyle w:val="ArticleScripture"/>
        <w:jc w:val="left"/>
      </w:pPr>
      <w:r>
        <w:rPr>
          <w:rFonts w:ascii="Times New Roman" w:hAnsi="Times New Roman" w:eastAsia="Times New Roman" w:cs="Times New Roman"/>
        </w:rPr>
        <w:t>«Ҷалоли осмон дар ашк! Писари Худои беинтиҳо дар рӯҳ музтариб, аз андуҳ сархам! Ин манзара тамоми осмонро аз ҳайрат пур кард. Он манзара ба мо гуноҳкории фавқулодаи гуноҳро ошкор месозад; он нишон медиҳад, ки ҳатто барои Қудрати Беинтиҳо наҷот додани гунаҳкор аз оқибатҳои вайрон кардани қонуни Худо чӣ қадар кори душвор аст. Исо, ба насли охирин назар афканда, ҷаҳонро даргири фиребе дид, монанди ҳамон фиребе ки боиси нобудии Ерусалим гардид. Гуноҳи бузурги яҳудиён рад кардани Масеҳ буд; гуноҳи бузурги ҷаҳони масеҳӣ рад кардани қонуни Худо хоҳад буд, ки асоси ҳукмронии Ӯ дар осмон ва замин аст. Аҳкоми Яҳува хор шумурда шуда, поймол карда хоҳанд шуд. Миллионҳо нафар, ки дар асорати гуноҳанд, ғуломони Шайтон, маҳкум ба азоб кашидани марги дуюм, дар рӯзи тафаққуди худ аз гӯш додан ба суханони ростӣ сар хоҳанд печид. Кӯрии даҳшатнок! Фатну фиреби аҷиб!» «Муборизаи бузург», 22.</w:t>
      </w:r>
    </w:p>
    <w:p>
      <w:pPr>
        <w:pStyle w:val="ArticleBody"/>
        <w:jc w:val="left"/>
      </w:pPr>
      <w:r>
        <w:rPr>
          <w:rFonts w:ascii="Times New Roman" w:hAnsi="Times New Roman" w:eastAsia="Times New Roman" w:cs="Times New Roman"/>
        </w:rPr>
        <w:t>Паёми ҳушдордиҳандае, ки Яҳёи Таъмиддиҳанда ва ҳамчунин Масеҳ мавъиза мекарданд, ҳамон як паёми ҳушдордиҳанда буд; чунончи паёми ҳушдордиҳандаи Миллериён низ ҳамон паём буд, ки воқеаҳои вобаста ба анҷоми давраи имтиёзро муайян месохт, ва ҳамин паёмро саду чилу чор ҳазор мавъиза хоҳанд кард. Се шоҳид: Яҳёи Таъмиддиҳанда, Масеҳ ва Миллериён шаҳодат медиҳанд, ки кор ва паёми саду чилу чор ҳазор раванди озмоиши ҳаёт ё мамот аст, ки ба воситаи афзоиши дониш, ки дар соли 1989 мӯҳраш кушода шуд, ба анҷом мерасад. Паёме, ки дар он вақт кушода шуд, рӯъёи рӯзҳои охир аст, ки хирадмандон бояд онро дарк намоянд, агар онҳо мехоҳанд аз ҷумлаи «коҳинон» бошанд, ки саду чилу чор ҳазорро ташкил медиҳанд. Агар он номзадон он рӯъёро дарк накунанд, онҳо ҳамчун шарирон ё ҳамчун аблаҳон муайян карда мешаванд ва ҳалок мегарданд. Онҳо ва фарзандонашон, мувофиқи рад намудани он рӯъёе ки ҳамон афзоиши дониш аст, рад карда мешаванд.</w:t>
      </w:r>
    </w:p>
    <w:p>
      <w:pPr>
        <w:pStyle w:val="ArticleBody"/>
        <w:jc w:val="left"/>
      </w:pPr>
      <w:r>
        <w:rPr>
          <w:rFonts w:ascii="Times New Roman" w:hAnsi="Times New Roman" w:eastAsia="Times New Roman" w:cs="Times New Roman"/>
        </w:rPr>
        <w:t>Каломи Худо муайян мекунад, ки Рум ҳамон қудратест, ки худро боло мебардорад, қавми Худоро ғорат мекунад ва сипас суқут намуда, рӯъёро барқарор месозад. Саволи он ки Руми Муосир қудрати папавӣ аст ё Иёлоти Муттаҳида, ҳамон имтиҳонест, ки муайян месозад, ки он номзадон бокирагони доно ҳастанд ё бокирагони аблаҳ. Ин имтиҳон имтиҳони нубувватист, ки аз китоби Дониёл бармеояд ва баъдтар дар китоби Ваҳй тасдиқ гардида, ба камол расонида мешавад. Мавзӯи Руми Муосир танҳо интихоби миёни қудрати папавӣ ё Иёлоти Муттаҳида нест; он имтиҳони ниҳоӣ барои яксаду чилу чор ҳазор аст. Он имтиҳони нубувватист, ва агар дуруст фаҳмида шавад, тамоми тасвирҳои раванди охирини имтиҳонро, ки дар шаҳодати муқаддаси нубувватии Худо баён шудаанд, дар бар мегирад.</w:t>
      </w:r>
    </w:p>
    <w:p>
      <w:pPr>
        <w:pStyle w:val="ArticleBody"/>
        <w:jc w:val="left"/>
      </w:pPr>
      <w:r>
        <w:rPr>
          <w:rFonts w:ascii="Times New Roman" w:hAnsi="Times New Roman" w:eastAsia="Times New Roman" w:cs="Times New Roman"/>
        </w:rPr>
        <w:t>Раванди имтиҳони замони Яҳёи Таъмиддиҳанда ва Масеҳ аз китоби Дониёл бармеомад, ҳамон тавре ки раванди имтиҳон дар замони Миллериён низ аз он бармеомад. Ҳамчун як имтиҳони нубувватӣ, усули он ки чӣ гуна ҳақиқат муқаррар карда мешавад, барои он номзадҳо ба таври дуруст татбиқ намудани он, ҳамон қадр зарурист, ки танҳо бар назари дуруст дар бораи он ки Руми Модерн кист, устувор мондан. Хоҳ шиносоии дурусти Руми Модерн мавриди назар гирифта шавад, хоҳ татбиқи усули дуруст, ҳар ду унсури имтиҳон дар китоби Дониёл ҷой дода шудаанд. Дар боби якуми Дониёл, Дониёл аз миёни як раванди сеқадамаи имтиҳон гузашт, ки аз парҳез оғоз мешуд, сипас имтиҳони зоҳирӣ меомад, ва баъдан имтиҳоне пайравӣ мекард, ки онро Набукаднесар анҷом дод, ки рамзи Китоби Муқаддасӣ барои Подшоҳи Шимол, қудрати папавии рӯзҳои охир аст.</w:t>
      </w:r>
    </w:p>
    <w:p>
      <w:pPr>
        <w:pStyle w:val="ArticleScripture"/>
        <w:jc w:val="left"/>
      </w:pPr>
      <w:r>
        <w:rPr>
          <w:rFonts w:ascii="Times New Roman" w:hAnsi="Times New Roman" w:eastAsia="Times New Roman" w:cs="Times New Roman"/>
        </w:rPr>
        <w:t>Ва дар бораи ин чор ҷавон Худо ба онҳо дониш ва маҳорат дар ҳар гуна омӯзиш ва ҳикмат ато кард; ва Дониёл дар фаҳмиши ҳамаи рӯъёҳо ва хобҳо соҳибидрок буд. Ва дар анҷоми он рӯзҳое ки подшоҳ фармуда буд онҳоро назди ӯ биёранд, сардори хоҷасароён онҳоро ба ҳузури Набукаднесар овард. Ва подшоҳ бо онҳо суҳбат кард; ва дар миёни ҳамаи онҳо ҳеҷ касе мисли Дониёл, Ҳананё, Мишоил ва Азариё ёфт нашуд; бинобар ин онҳо ба ҳузури подшоҳ истоданд. Ва дар ҳамаи корҳои ҳикмат ва фаҳме ки подшоҳ аз онҳо пурсон мешуд, онҳоро даҳ баробар беҳтар аз ҳамаи ҷодугарон ва мунҷимоне ёфт, ки дар тамоми салтанати ӯ буданд. Дониёл 1:17–20.</w:t>
      </w:r>
    </w:p>
    <w:p>
      <w:pPr>
        <w:pStyle w:val="ArticleBody"/>
        <w:jc w:val="left"/>
      </w:pPr>
      <w:r>
        <w:rPr>
          <w:rFonts w:ascii="Times New Roman" w:hAnsi="Times New Roman" w:eastAsia="Times New Roman" w:cs="Times New Roman"/>
        </w:rPr>
        <w:t>«Дар охири айём», ки ба маънои набавӣ ҳамон рӯзҳои охир аст, вақте ки яксаду чилу чор ҳазор озмуда мешаванд, Дониёл ва он се ҷавони баргузида «даҳ маротиба беҳтар аз ҳамаи ҷодугарон ва ситорашиносоне ёфт шуданд, ки дар тамоми мулки ӯ буданд», ва Дониёл «дар ҳамаи рӯъёҳо ва хобҳо фаҳмиш дошт». Дониёл намояндаи яксаду чилу чор ҳазор аст, ки дар рӯзҳои охир афзоиши донишро дарк мекунанд, ки он дар соли 1989 фаро расид, вақте ки Масеҳ, ҳамчун Шери сибти Яҳудо, «он қисми китоби Дониёлро, ки ба рӯзҳои охир тааллуқ дошт», муҳркушоӣ кард.</w:t>
      </w:r>
    </w:p>
    <w:p>
      <w:pPr>
        <w:pStyle w:val="ArticleBody"/>
        <w:jc w:val="left"/>
      </w:pPr>
      <w:r>
        <w:rPr>
          <w:rFonts w:ascii="Times New Roman" w:hAnsi="Times New Roman" w:eastAsia="Times New Roman" w:cs="Times New Roman"/>
        </w:rPr>
        <w:t>Дониёл на танҳо нисбат ба дигарон бештар дар бораи хобҳо ва рӯъёҳо мефаҳмид, балки ӯ «дар ҳамаи рӯъёҳо ва хобҳо фаҳмиш» дошт. Ӯ намояндаи онҳост, ки усули хат бар хатро ба кор мебаранд, зеро ин усул «ҳамаи рӯъёҳо ва хобҳо»-ро дар як паёми воҳиду ҳамоҳанг ба ҳам меоварад. Паёме, ки ҳамаи хобҳо ва рӯъёҳоро дар як хатти ягонаи нубувватӣ ба ҳам меоварад, «ҳодисаҳои марбут ба басташавии давраи имтиёз»-ро муайян месозад. Ин паём ба воситаи рамзи нубувватӣ, ки Руми муосир аст, яъне он қудрате, ки худро боло мебардорад, халқи Худоро ғорат мекунад ва суқут менамояд, устувор гардонида мешавад.</w:t>
      </w:r>
    </w:p>
    <w:p>
      <w:pPr>
        <w:pStyle w:val="ArticleBody"/>
        <w:jc w:val="left"/>
      </w:pPr>
      <w:r>
        <w:rPr>
          <w:rFonts w:ascii="Times New Roman" w:hAnsi="Times New Roman" w:eastAsia="Times New Roman" w:cs="Times New Roman"/>
        </w:rPr>
        <w:t>Он қудрат фақат бо татбиқ кардани методологияи дуруст барқарор карда мешавад. Аксари онҳое ки даъво мекунанд Китоби Муқаддасро меомӯзанд, методологияи «хат бар хат»-ро рад мекунанд; ва баъзе аз онҳое ки даъво мекунанд онро ба кор мебаранд, қоидаҳоеро, ки методологияи «хат бар хат»-ро ташкил медиҳанд, нодуруст татбиқ менамоянд. Он қоидаҳо нахустин бор аз ҷониби миллериён ба сабти оммавӣ ворид карда шуданд, ва қавми рӯзҳои охири Худо пешакӣ огоҳ карда шудаанд, ки онҳое ки дар ҳақиқат паёмоварони фариштаи сеюм мебошанд, аз қоидаҳои тафсири нубувватии Вилям Миллер истифода хоҳанд бурд.</w:t>
      </w:r>
    </w:p>
    <w:p>
      <w:pPr>
        <w:pStyle w:val="ArticleScripture"/>
        <w:jc w:val="left"/>
      </w:pPr>
      <w:r>
        <w:rPr>
          <w:rFonts w:ascii="Times New Roman" w:hAnsi="Times New Roman" w:eastAsia="Times New Roman" w:cs="Times New Roman"/>
        </w:rPr>
        <w:t>«Онҳое ки ба эълон кардани паёми фариштаи сеюм машғуланд, Навиштаҳоро мувофиқи ҳамон нақшае меомӯзанд, ки Падар Миллер қабул карда буд». Review and Herald, November 25, 1884.</w:t>
      </w:r>
    </w:p>
    <w:p>
      <w:pPr>
        <w:pStyle w:val="ArticleBody"/>
        <w:jc w:val="left"/>
      </w:pPr>
      <w:r>
        <w:rPr>
          <w:rFonts w:ascii="Times New Roman" w:hAnsi="Times New Roman" w:eastAsia="Times New Roman" w:cs="Times New Roman"/>
        </w:rPr>
        <w:t>Вильям Миллер оғози се фариштаи Ваҳйи чордаҳумро ифода мекард, ва ӯ бо Яҳёи Таъмиддиҳанда рамзӣ нишон дода шуда буд, ки оғози он паёме буд, ки Масеҳ анҷоми он буд. Хоҳар Уайт раванди озмоиши Яҳёи Таъмиддиҳандаро нисбат ба Масеҳ бевосита бо раванди озмоиши се фаришта ҳамоҳанг месозад. Яҳё паёмро оғоз кард, ва танҳо андаке пеш аз салиб, вақте ки Масеҳ шогирдони Худро ба Қайсарияи Филиппӣ бурда буд, Исо он гоҳ ҷузъиёти он паёмеро, ки Яҳё оғоз карда буд, илова намуд. Аввалин ҳақиқате ки Яҳё, ҳангоме ки Масеҳро дид, муайян кард, шиносонидани Масеҳ ҳамчун Барраи Худо буд, ки гуноҳҳои ҷаҳонро мебардорад.</w:t>
      </w:r>
    </w:p>
    <w:p>
      <w:pPr>
        <w:pStyle w:val="ArticleScripture"/>
        <w:jc w:val="left"/>
      </w:pPr>
      <w:r>
        <w:rPr>
          <w:rFonts w:ascii="Times New Roman" w:hAnsi="Times New Roman" w:eastAsia="Times New Roman" w:cs="Times New Roman"/>
        </w:rPr>
        <w:t>Ин корҳо дар Байт-Абара, он сӯи Ӯрдун, дар он ҷо ки Яҳё таъмид медод, воқеъ шуданд. Рӯзи дигар Яҳё Исоро дид, ки сӯи ӯ меомад, ва гуфт: «Инак Барраи Худо, ки гуноҳи ҷаҳонро мебардорад. Ин аст Он ки дар бораи Ӯ гуфта будам: “Пас аз ман Марде меояд, ки бар ман бартарӣ дорад, зеро ки Ӯ пеш аз ман буд”.» Юҳанно 1:28–30.</w:t>
      </w:r>
    </w:p>
    <w:p>
      <w:pPr>
        <w:pStyle w:val="ArticleBody"/>
        <w:jc w:val="left"/>
      </w:pPr>
      <w:r>
        <w:rPr>
          <w:rFonts w:ascii="Times New Roman" w:hAnsi="Times New Roman" w:eastAsia="Times New Roman" w:cs="Times New Roman"/>
        </w:rPr>
        <w:t>Пас аз он давраи сеюнимсолаи имтиҳон оғоз ёфт, ки дар салиб ба анҷом расид. Пас аз он ки Яҳё андаке пеш аз салиб кушта шуд, Исо он гоҳ ба баёни ҳамон аввалин гуфтаи Яҳё оғоз намуд.</w:t>
      </w:r>
    </w:p>
    <w:p>
      <w:pPr>
        <w:pStyle w:val="ArticleScripture"/>
        <w:jc w:val="left"/>
      </w:pPr>
      <w:r>
        <w:rPr>
          <w:rFonts w:ascii="Times New Roman" w:hAnsi="Times New Roman" w:eastAsia="Times New Roman" w:cs="Times New Roman"/>
        </w:rPr>
        <w:t>Вақте ки Исо ба ҳудуди Қайсарияи Филиппус омад, аз шогирдони Худ пурсид ва гуфт: «Мардум Маро, ки Писари Одам ҳастам, кӣ мегӯянд?» Онҳо гуфтанд: «Баъзеҳо мегӯянд, ки Ту Яҳёи Таъмиддиҳанда ҳастӣ; баъзеҳо — Илёс; ва дигарон — Ирмиё ё яке аз анбиё». Ӯ ба онҳо гуфт: «Аммо шумо Маро кӣ мегӯед?» Шимъӯни Петрус дар ҷавоб гуфт: «Ту Масеҳ ҳастӣ, Писари Худои Ҳай». Исо дар ҷавоб ба ӯ гуфт: «Хушо ту, эй Шимъӯн ибни Юнус, зеро инро на ҷисм ва хун бар ту ошкор кардааст, балки Падари Ман, ки дар осмон аст. Ва Ман низ ба ту мегӯям, ки ту Петрус ҳастӣ, ва бар ин сахра Ман калисои Худро бино хоҳам кард; ва дарвозаҳои дӯзах бар он ғолиб нахоҳанд омад. Ва калидҳои Малакути Осмонро ба ту хоҳам дод; ва ҳар он чи бар замин бибандӣ, дар осмон баста хоҳад шуд; ва ҳар он чи бар замин бикшоӣ, дар осмон кушода хоҳад шуд». Он гоҳ ба шогирдони Худ амр фармуд, ки ба ҳеҷ кас нагӯянд, ки Ӯ Исо Масеҳ аст. Аз он вақт сар карда, Исо ба шогирдони Худ нишон дод, ки бояд ба Ерусалим биравад ва аз пирон, саркоҳинон ва китобдонон азобҳои бисёр бикашад, кушта шавад ва дар рӯзи сеюм эҳё гардад. Матто 16:13–21.</w:t>
      </w:r>
    </w:p>
    <w:p>
      <w:pPr>
        <w:pStyle w:val="ArticleBody"/>
        <w:jc w:val="left"/>
      </w:pPr>
      <w:r>
        <w:rPr>
          <w:rFonts w:ascii="Times New Roman" w:hAnsi="Times New Roman" w:eastAsia="Times New Roman" w:cs="Times New Roman"/>
        </w:rPr>
        <w:t>Қайсарияи Филиппӣ номи Паниум дар айёми Масеҳ аст, ва Паниум дар ояте, ки пас аз ояти чордаҳуми Дониёл ёздаҳ меояд, муайян карда мешавад, он ҷо ки горатгарони қавми ту, ки худро баланд мебардоранд, вале суқут мекунанд, муаррифӣ мешаванд. Паёми Яҳёи Таъмиддиҳанда, ки илҳомбахш ва комил буд, ҳамон паём дар ибтидо буд, ки паёми Миллериро намояндагӣ мекард, ки бар қоидаҳои Миллер бино гардида буд. Паёми Масеҳ дар анҷом, ки бар паёми Яҳё бино шуда ва онро густариш дода буд, намунаи паём дар анҷоми се фаришта буд, ки бар қоидаҳои Миллер ва бар тафсилоте асос ёфтааст, ки ҳангоме ки усули сатр бар сатр ба анҷом мерасад, ба паёми Миллер илова карда мешаванд.</w:t>
      </w:r>
    </w:p>
    <w:p>
      <w:pPr>
        <w:pStyle w:val="ArticleBody"/>
        <w:jc w:val="left"/>
      </w:pPr>
      <w:r>
        <w:rPr>
          <w:rFonts w:ascii="Times New Roman" w:hAnsi="Times New Roman" w:eastAsia="Times New Roman" w:cs="Times New Roman"/>
        </w:rPr>
        <w:t>Ба фаҳмиши нодурусти рамзе расидан, ки рӯъёро бо рамзи Руми Модерн барқарор мекунад, бо касоне, ки дар таърихи Масеҳ паёми салибро рад карданд, ҳамсон аст. Ба мо маълум карда шудааст, ки яҳудиёне, ки паёми Яҳёи Таъмиддиҳандаро рад карданд, аз таълимоти Исо фоида гирифта натавонистанд, ва таърихи он яҳудиёне, ки айнан ҳамин корро карданд, намояндаи онҳост, ки паёми фариштаи аввалро рад намуданд. Миллериён ғоратгарони қавми туро, ки ман баъдтар онро бо ибораи «Руми Модерн» номгузорӣ кардам, ҳамчун қудрати папавӣ муайян карданд.</w:t>
      </w:r>
    </w:p>
    <w:p>
      <w:pPr>
        <w:pStyle w:val="ArticleBody"/>
        <w:jc w:val="left"/>
      </w:pPr>
      <w:r>
        <w:rPr>
          <w:rFonts w:ascii="Times New Roman" w:hAnsi="Times New Roman" w:eastAsia="Times New Roman" w:cs="Times New Roman"/>
        </w:rPr>
        <w:t>Дар мақолаи навбатӣ ин мулоҳизаҳоро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 рӯъёро барқарор месозад — рақами дуюм</dc:title>
  <dc:subject>Муайян кардани Рими муосир ва рӯъёи нубувватӣ дар рӯзҳои охир</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