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мекунад — рақами панҷ</w:t>
      </w:r>
    </w:p>
    <w:p>
      <w:pPr>
        <w:pStyle w:val="ArticleSubtitle"/>
        <w:jc w:val="left"/>
      </w:pPr>
      <w:r>
        <w:rPr>
          <w:rFonts w:ascii="Arial" w:hAnsi="Arial" w:eastAsia="Arial" w:cs="Arial"/>
        </w:rPr>
        <w:t>Ошкор сохтани баҳсҳои такрории нубувватӣ дар Адвентизм: дарк кардани Ғоратгарони қавми 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Дар мақолаи охирин мо шаш хатти нубувватии ихтилофро, ки дар таърихи адвентизм аз давраи миллерӣ то имрӯз рух додаанд, муайян кардем. Ман бар он ақидаам, ки ихтилофи аввал ва охирин дар бораи «ғоратгарони қавми ту» дар ояти чордаҳуми боби ёздаҳуми Дониёл аз ҷиҳати нубувват яксонанд. Миллериён «ғоратгарон»-ро Рум мефаҳмиданд, ва протестантҳо таълим медоданд, ки «ғоратгарон» подшоҳи суриягӣ бо номи Антиохус Епифанес буданд.</w:t>
      </w:r>
    </w:p>
    <w:p>
      <w:pPr>
        <w:pStyle w:val="ArticleScripture"/>
        <w:jc w:val="left"/>
      </w:pPr>
      <w:r>
        <w:rPr>
          <w:rFonts w:ascii="Times New Roman" w:hAnsi="Times New Roman" w:eastAsia="Times New Roman" w:cs="Times New Roman"/>
        </w:rPr>
        <w:t>Ва дар он айём бисёре бар зидди подшоҳи ҷануб бархоста хоҳанд омад; ҳамчунин золимони қавми ту худро баланд хоҳанд кард, то рӯъёро барқарор созанд; аммо онҳо фурӯ хоҳанд афтод. Дониёл 11:14.</w:t>
      </w:r>
    </w:p>
    <w:p>
      <w:pPr>
        <w:pStyle w:val="ArticleBody"/>
        <w:jc w:val="left"/>
      </w:pPr>
      <w:r>
        <w:rPr>
          <w:rFonts w:ascii="Times New Roman" w:hAnsi="Times New Roman" w:eastAsia="Times New Roman" w:cs="Times New Roman"/>
        </w:rPr>
        <w:t>Аз ояти даҳум оғоз намуда, то ояти понздаҳум ҷанг миёни подшоҳиҳое, ки Миср ва Сурияро намояндагӣ мекунанд, тасвир шудааст. Дар ин порча Миср ҳамчун подшоҳи ҷануб, ва подшоҳи Сурия ҳамчун подшоҳи шимол муаррифӣ мегардад. Ояти даҳум он чиро муайян мекунад, ки таърихнигорон онро оғози ҷанги чоруми Сурия дар соли 219 то милод меноманд; оятҳои ёздаҳум ва дувоздаҳум ҷанги Рафияро дар соли 217 то милод ва паёмадҳои онро тасвир мекунанд. Сипас оятҳои сездаҳум то понздаҳум ҷанги Панийумро дар соли 200 то милод муайян месозанд. Дар оятҳои даҳум то понздаҳум подшоҳи Сурия Антиохи Бузург, ҳокими Империяи Селевкиён аст.</w:t>
      </w:r>
    </w:p>
    <w:p>
      <w:pPr>
        <w:pStyle w:val="ArticleBody"/>
        <w:jc w:val="left"/>
      </w:pPr>
      <w:r>
        <w:rPr>
          <w:rFonts w:ascii="Times New Roman" w:hAnsi="Times New Roman" w:eastAsia="Times New Roman" w:cs="Times New Roman"/>
        </w:rPr>
        <w:t>Ояти даҳум он таърихро ифода мекунад, ки дар он Антиохуси Магнус барои бозпас гирифтани қаламраве, ки солҳои пеш аз подшоҳии Селевкиён гирифта шуда буд, ҷангро оғоз менамояд. Дар ин оят ӯ дар соли 219 то милод он қаламрави аздастрафтаро бозпас мегирад, аммо таҷовузҳои худро муваққатан қатъ намуда, мекӯшад қувваи низомии худро аз нав ҷамъ оварад. Ӯ назорати қаламрави аздастрафтаро дубора ба даст овард ва то худи сарҳади Миср, подшоҳии ҷанубӣ, ки онро сулолаи Птолемей ҳукмронӣ мекард, пеш рафт. Дар байни солҳои 219 то милод ва 217 то милод ҳам подшоҳи ҷануб ва ҳам подшоҳи шимол барои ҷанги наздикшавандаи Рафия нақшаҳо тартиб медоданд.</w:t>
      </w:r>
    </w:p>
    <w:p>
      <w:pPr>
        <w:pStyle w:val="ArticleBody"/>
        <w:jc w:val="left"/>
      </w:pPr>
      <w:r>
        <w:rPr>
          <w:rFonts w:ascii="Times New Roman" w:hAnsi="Times New Roman" w:eastAsia="Times New Roman" w:cs="Times New Roman"/>
        </w:rPr>
        <w:t>Ҷанги Рафия дар соли 217 то милод рух дод, ва подшоҳии ҷанубӣ — Миср, ки онро Птолемей ҳукмронӣ мекард, бар подшоҳи Сурия Антиохи Бузург, подшоҳи шимол дар ин порчаи нубувватӣ, ғолиб омад. Сипас, дар оятҳои сездаҳум то понздаҳум, ҳабдаҳ сол баъд, дар соли 200 то милод, Антиохи Бузург, ки он вақт бо Филиппи Мақдунӣ иттифоқ баста буд, дар ҷанги Паниюм бо Миср даргир шуд. Он вақт подшоҳии ҷанубӣ — Миср подшоҳи кӯдаке дошт, ки панҷ ё шашсола буд, ва Антиохи Бузург ва Филипп натавонистанд аз подшоҳи кӯдаки Миср истифода набаранд, ва Антиохи Бузург дар ҷанги Паниюм ғолиб омад. Он се ояте, ки ҷанги Паниюмро тасвир мекунанд, ояти чордаҳумро дар бар мегиранд, ки дар он қудрати наве ба ривояти нубувватӣ ворид карда мешавад.</w:t>
      </w:r>
    </w:p>
    <w:p>
      <w:pPr>
        <w:pStyle w:val="ArticleBody"/>
        <w:jc w:val="left"/>
      </w:pPr>
      <w:r>
        <w:rPr>
          <w:rFonts w:ascii="Times New Roman" w:hAnsi="Times New Roman" w:eastAsia="Times New Roman" w:cs="Times New Roman"/>
        </w:rPr>
        <w:t>Ғоратгарони қавми ту қудрате дигар ҳастанд аз подшоҳи ҷануби Миср, ё аз подшоҳи шимоли Селевкиён, ё аз Филиппуси ҳокими Мақдунӣ. Миллериён дарк карданд, ки Рум ҳамон ғоратгарони қавми туст. Яке аз калимаҳои решагии ибронӣ, ки ҳамчун «ғоратгарон» тарҷума шудааст, маънои «шикананда»-ро дорад. Руми бутпараст дар нубувват ҳамчун он қудрате тасвир шудааст, ки пора-пора хоҳад шикаст.</w:t>
      </w:r>
    </w:p>
    <w:p>
      <w:pPr>
        <w:pStyle w:val="ArticleScripture"/>
        <w:jc w:val="left"/>
      </w:pPr>
      <w:r>
        <w:rPr>
          <w:rFonts w:ascii="Times New Roman" w:hAnsi="Times New Roman" w:eastAsia="Times New Roman" w:cs="Times New Roman"/>
        </w:rPr>
        <w:t>Пас аз ин ман дар рӯъёҳои шабона дидам, ва инак ҳайвони чаҳоруме, даҳшатнок ва маҳиб, ва бағоят неруманд; ва он дандонҳои бузурги оҳанин дошт: мехӯрд ва пора-пора мекард, ва бақияро бо пойҳои худ зер мекард; ва он аз ҳамаи ҳайвонҳое ки пеш аз он буданд, фарқ мекард; ва он даҳ шох дошт. Дониёл 7:7.</w:t>
      </w:r>
    </w:p>
    <w:p>
      <w:pPr>
        <w:pStyle w:val="ArticleBody"/>
        <w:jc w:val="left"/>
      </w:pPr>
      <w:r>
        <w:rPr>
          <w:rFonts w:ascii="Times New Roman" w:hAnsi="Times New Roman" w:eastAsia="Times New Roman" w:cs="Times New Roman"/>
        </w:rPr>
        <w:t>Вақте ки Урия Смит дар бораи ғоратгарон шарҳ медиҳад, ӯ аз як муаррих иқтибос меорад, ки ишора мекунад ғоратгарон рамзи вайронкунандагон мебошанд.</w:t>
      </w:r>
    </w:p>
    <w:p>
      <w:pPr>
        <w:pStyle w:val="ArticleScripture"/>
        <w:jc w:val="left"/>
      </w:pPr>
      <w:r>
        <w:rPr>
          <w:rFonts w:ascii="Times New Roman" w:hAnsi="Times New Roman" w:eastAsia="Times New Roman" w:cs="Times New Roman"/>
        </w:rPr>
        <w:t>«Ҳоло қудрати тозае муаррифӣ мегардад, — “ғоратгарони қавми ту”; ба маънои лафзӣ, мегӯяд Бишоп Нютон, “вайронкунандагони қавми ту”. Дар дур, бар соҳилҳои Тибр, подшоҳие бо тарҳҳои ҳирсомез ва ниятҳои торик худро парвариш медод. Дар оғоз хурд ва нотавон буд, аммо бо суръати шигифтангезе дар қувват ва тавоноӣ рушд кард, бо эҳтиёт гоҳе ин ҷо ва гоҳе он ҷо даст дароз карда, то қудрати худро биозмояд ва нерӯи бозуи ҷангии худро санҷад, то он ки, аз қуввати худ огоҳ гардида, далерона сари худро дар миёни миллатҳои замин боло бардошт ва бо дасти шикастнопазир суккони корҳои онҳоро ба даст гирифт. Аз ин пас номи Рум бар саҳифаи таърих меистад, то дар тӯли асрҳои дароз умури ҷаҳонро идора кунад ва ҳатто то охири замон дар миёни миллатҳо таъсири азиме ба амал оварад.»</w:t>
      </w:r>
    </w:p>
    <w:p>
      <w:pPr>
        <w:pStyle w:val="ArticleScripture"/>
        <w:jc w:val="left"/>
      </w:pPr>
      <w:r>
        <w:rPr>
          <w:rFonts w:ascii="Times New Roman" w:hAnsi="Times New Roman" w:eastAsia="Times New Roman" w:cs="Times New Roman"/>
        </w:rPr>
        <w:t>«Рум сухан гуфт; ва дере нагузашта Сурия ва Мақдуния диданд, ки бар манзараи орзуи онҳо дигаргунӣ фаро мерасад. Румиён ба ҷонибдории подшоҳи ҷавони Миср дахолат карданд ва қатъиян хостанд, ки ӯ аз ҳалокате, ки Антиохус ва Филипп барои ӯ тарҳрезӣ карда буданд, ҳифз шавад. Ин дар соли 200 то милод буд ва яке аз нахустин дахолатҳои муҳимми румиён дар умури Сурия ва Миср ба шумор мерафт». Uriah Smith, Daniel and the Revelation, 257.</w:t>
      </w:r>
    </w:p>
    <w:p>
      <w:pPr>
        <w:pStyle w:val="ArticleBody"/>
        <w:jc w:val="left"/>
      </w:pPr>
      <w:r>
        <w:rPr>
          <w:rFonts w:ascii="Times New Roman" w:hAnsi="Times New Roman" w:eastAsia="Times New Roman" w:cs="Times New Roman"/>
        </w:rPr>
        <w:t>Пешгӯие, ки дар ин оятҳо баён шудааст, тақрибан дар давоми бист сол, аз соли 219 то м.қ. то соли 200 то м.қ., ба амал омад, вале анбиё бештар дар бораи айёми охир сухан мегӯянд, на дар бораи айёме, ки худ дар он зиндагӣ мекарданд.</w:t>
      </w:r>
    </w:p>
    <w:p>
      <w:pPr>
        <w:pStyle w:val="ArticleScripture"/>
        <w:jc w:val="left"/>
      </w:pPr>
      <w:r>
        <w:rPr>
          <w:rFonts w:ascii="Times New Roman" w:hAnsi="Times New Roman" w:eastAsia="Times New Roman" w:cs="Times New Roman"/>
        </w:rPr>
        <w:t>«Ҳар яке аз анбиёи қадим камтар барои замони худ сухан гуфтанд, назар ба он ки барои замони мо, ба тавре ки нубуввати онҳо барои мо эътибор дорад. “Ва ҳамаи ин чизҳо ба онҳо ҳамчун намунаҳо воқеъ шуданд; ва онҳо барои насиҳати мо навишта шудаанд, ки бар мо поёнҳои ҷаҳон расидааст.” 1 Қӯринтиён 10:11. “На ба худашон, балки ба мо онҳо дар он чизҳо хизмат мекарданд, ки ҳоло ба шумо аз ҷониби онҳое эълон шудааст, ки Инҷилро ба шумо ба василаи Рӯҳулқудси аз осмон фиристодашуда мавъиза кардаанд; чизҳое ки фариштагон орзу доранд ба онҳо назар афкананд.” 1 Петрус 1:12....»</w:t>
      </w:r>
    </w:p>
    <w:p>
      <w:pPr>
        <w:pStyle w:val="ArticleScripture"/>
        <w:jc w:val="left"/>
      </w:pPr>
      <w:r>
        <w:rPr>
          <w:rFonts w:ascii="Times New Roman" w:hAnsi="Times New Roman" w:eastAsia="Times New Roman" w:cs="Times New Roman"/>
        </w:rPr>
        <w:t>«Китоби Муқаддас ганҷҳои худро барои ин насли охирин ҷамъ оварда, бо ҳам пайванд кардааст. Ҳамаи воқеаҳои бузург ва муомилоти ҷиддии таърихи Аҳди Қадим дар ин рӯзҳои охир дар калисо такрор шуда буданд ва такрор мешаванд». Selected Messages, китоби 3, 338, 339.</w:t>
      </w:r>
    </w:p>
    <w:p>
      <w:pPr>
        <w:pStyle w:val="ArticleBody"/>
        <w:jc w:val="left"/>
      </w:pPr>
      <w:r>
        <w:rPr>
          <w:rFonts w:ascii="Times New Roman" w:hAnsi="Times New Roman" w:eastAsia="Times New Roman" w:cs="Times New Roman"/>
        </w:rPr>
        <w:t>Ҳарчанд Дониёл дар давраи бистсолаи мавриди баррасии мо зиндагӣ накарда буд, илҳом тавассути навиштаҳои хоҳар Уайт ба мо маълум месозад, ки қисми зиёди таърихи дар Дониёл ёздаҳ сабтшуда дар иҷрошавии ниҳоии Дониёл ёздаҳ такрор хоҳад шуд.</w:t>
      </w:r>
    </w:p>
    <w:p>
      <w:pPr>
        <w:pStyle w:val="ArticleScripture"/>
        <w:jc w:val="left"/>
      </w:pPr>
      <w:r>
        <w:rPr>
          <w:rFonts w:ascii="Times New Roman" w:hAnsi="Times New Roman" w:eastAsia="Times New Roman" w:cs="Times New Roman"/>
        </w:rPr>
        <w:t>«Мо барои аз даст додан ҳеҷ вақт надорем. Айёмҳои пурошӯб дар пеши мо ҳастанд. Ҷаҳон бо рӯҳи ҷанг ба таҳрик омадааст. Ба зудӣ манзараҳои нооромие, ки дар нубувватҳо зикр шудаанд, ба вуқӯъ хоҳанд пайваст. Нубуввати боби ёздаҳуми китоби Дониёл қариб ба иҷрои комили худ расидааст. Бисёре аз таърихе, ки дар иҷрои ин нубувват ба амал омадааст, такрор хоҳад шуд». Manuscript Releases, number 13, 394.</w:t>
      </w:r>
    </w:p>
    <w:p>
      <w:pPr>
        <w:pStyle w:val="ArticleBody"/>
        <w:jc w:val="left"/>
      </w:pPr>
      <w:r>
        <w:rPr>
          <w:rFonts w:ascii="Times New Roman" w:hAnsi="Times New Roman" w:eastAsia="Times New Roman" w:cs="Times New Roman"/>
        </w:rPr>
        <w:t>Оятҳои даҳум то понздаҳуми Дониёл боби ёздаҳум таърихи рӯзҳои охирро, ки то ба қонуни наздикояндаи якшанбе мерасонад, ифода мекунанд, зеро ояти шонздаҳум муайян месозад, ки кай Рум бори аввал «замини ҷалол»-ро фатҳ кард.</w:t>
      </w:r>
    </w:p>
    <w:p>
      <w:pPr>
        <w:pStyle w:val="ArticleScripture"/>
        <w:jc w:val="left"/>
      </w:pPr>
      <w:r>
        <w:rPr>
          <w:rFonts w:ascii="Times New Roman" w:hAnsi="Times New Roman" w:eastAsia="Times New Roman" w:cs="Times New Roman"/>
        </w:rPr>
        <w:t>Аммо касе ки бар зидди ӯ меояд, мувофиқи иродаи худ амал хоҳад кард, ва ҳеҷ кас пеши ӯ истода натавонад; ва ӯ дар замини ҷалол хоҳад истод, ки ба дасти ӯ нобуд хоҳад шуд. Дониёл 11:16.</w:t>
      </w:r>
    </w:p>
    <w:p>
      <w:pPr>
        <w:pStyle w:val="ArticleBody"/>
        <w:jc w:val="left"/>
      </w:pPr>
      <w:r>
        <w:rPr>
          <w:rFonts w:ascii="Times New Roman" w:hAnsi="Times New Roman" w:eastAsia="Times New Roman" w:cs="Times New Roman"/>
        </w:rPr>
        <w:t>Дониёл дар навиштаҳои худ ибораи «замини ҷалол»-ро ду бор ба кор мебарад. Аввалин бор дар ояти шонздаҳ аст, вақте ки Руми бутпарасти айнӣ замини ҷалоли айнӣ, яъне Яҳудоро, тасхир кард.</w:t>
      </w:r>
    </w:p>
    <w:p>
      <w:pPr>
        <w:pStyle w:val="ArticleScripture"/>
        <w:jc w:val="left"/>
      </w:pPr>
      <w:r>
        <w:rPr>
          <w:rFonts w:ascii="Times New Roman" w:hAnsi="Times New Roman" w:eastAsia="Times New Roman" w:cs="Times New Roman"/>
        </w:rPr>
        <w:t>«Ҳарчанд Миср натавонист бар зидди Антиохус, подшоҳи шимол, истодагӣ намояд, Антиохус низ натавонист дар муқобили румиён, ки акнун бар зидди ӯ меомаданд, истодагӣ кунад. Дигар ҳеҷ подшоҳӣ қодир набуд, ки ба ин қудрати рӯ ба авҷ муқовимат намояд. Сурия фатҳ гардид ва ба империяи Рум ҳамроҳ карда шуд, вақте ки Помпей, дар соли 65 то м., Антиохуси Осиёиро аз мулкҳояш маҳрум сохт ва Сурияро ба як вилояти Рум табдил дод.»</w:t>
      </w:r>
    </w:p>
    <w:p>
      <w:pPr>
        <w:pStyle w:val="ArticleScripture"/>
        <w:jc w:val="left"/>
      </w:pPr>
      <w:r>
        <w:rPr>
          <w:rFonts w:ascii="Times New Roman" w:hAnsi="Times New Roman" w:eastAsia="Times New Roman" w:cs="Times New Roman"/>
        </w:rPr>
        <w:t>«Ҳамон қудрат мебоист дар Замини Муқаддас низ барпо гардад ва онро фурӯ барад. Рум дар соли 162 то милод, ба воситаи иттиҳод, бо қавми Худо — яҳудиён — пайваст гардид, ва аз ҳамон сана дар тақвими нубувватӣ ҷойгоҳи намоёнеро ишғол мекунад. Аммо он то соли 63 то милод бо роҳи фатҳи воқеӣ бар Яҳудо соҳибихтиёрӣ ба даст наовард; ва он гоҳ ба тариқи зерин.» Урайя Смит, Daniel and the Revelation, 259.</w:t>
      </w:r>
    </w:p>
    <w:p>
      <w:pPr>
        <w:pStyle w:val="ArticleBody"/>
        <w:jc w:val="left"/>
      </w:pPr>
      <w:r>
        <w:rPr>
          <w:rFonts w:ascii="Times New Roman" w:hAnsi="Times New Roman" w:eastAsia="Times New Roman" w:cs="Times New Roman"/>
        </w:rPr>
        <w:t>Ояти дигари он ҷо ки Дониёл ибораи «замини ҷалол»-ро ба кор мебарад, дар ояти чилу якум аст.</w:t>
      </w:r>
    </w:p>
    <w:p>
      <w:pPr>
        <w:pStyle w:val="ArticleScripture"/>
        <w:jc w:val="left"/>
      </w:pPr>
      <w:r>
        <w:rPr>
          <w:rFonts w:ascii="Times New Roman" w:hAnsi="Times New Roman" w:eastAsia="Times New Roman" w:cs="Times New Roman"/>
        </w:rPr>
        <w:t>Ӯ ҳамчунин ба замини ҷалол даромада хоҳад омад, ва бисёр кишварҳо сарнагун хоҳанд шуд; вале инҳо аз дасти ӯ раҳо хоҳанд ёфт: яъне Адӯм, ва Мӯоб, ва сарварони банӣ-Аммӯн. Дониёл 11:41.</w:t>
      </w:r>
    </w:p>
    <w:p>
      <w:pPr>
        <w:pStyle w:val="ArticleBody"/>
        <w:jc w:val="left"/>
      </w:pPr>
      <w:r>
        <w:rPr>
          <w:rFonts w:ascii="Times New Roman" w:hAnsi="Times New Roman" w:eastAsia="Times New Roman" w:cs="Times New Roman"/>
        </w:rPr>
        <w:t>Албатта, ояти чилуяк пас аз ояти чил меояд, ва ояти чил бо суханони «ва дар вақти охир» оғоз меёбад. Дар «Муборизаи Бузург» хоҳар Уайт соли 1798-ро ҳамчун «вақти охир» муайян мекунад; бинобар ин, ояти чилуяк таърихеро муайян мекунад, ки пас аз вақти охир дар соли 1798 воқеъ мегардад.</w:t>
      </w:r>
    </w:p>
    <w:p>
      <w:pPr>
        <w:pStyle w:val="ArticleScripture"/>
        <w:jc w:val="left"/>
      </w:pPr>
      <w:r>
        <w:rPr>
          <w:rFonts w:ascii="Times New Roman" w:hAnsi="Times New Roman" w:eastAsia="Times New Roman" w:cs="Times New Roman"/>
        </w:rPr>
        <w:t>«Аммо дар замони поён, — мегӯяд пайғамбар, — “бисёре ба ҳар сӯ давутоъз хоҳанд кард, ва дониш афзун хоҳад шуд”.» Дониёл 12:4.... Аз соли 1798 инҷониб китоби Дониёл кушода шудааст, дониш дар бораи пешгӯиҳо афзудааст, ва бисёре паёми ҷиддии наздик будани довариро эълон кардаанд». «Муборизаи Бузург», 356.</w:t>
      </w:r>
    </w:p>
    <w:p>
      <w:pPr>
        <w:pStyle w:val="ArticleBody"/>
        <w:jc w:val="left"/>
      </w:pPr>
      <w:r>
        <w:rPr>
          <w:rFonts w:ascii="Times New Roman" w:hAnsi="Times New Roman" w:eastAsia="Times New Roman" w:cs="Times New Roman"/>
        </w:rPr>
        <w:t>Замини пурҷалоли ояти чиҳилу як на Яҳудои қадимии воқеии замонҳои пешин аст, балки Яҳудои рӯҳонии замони ҳозира мебошад. Иёлоти Муттаҳида Яҳудои рӯҳонии замони ҳозира аст, ва ояти чиҳилу як қонуни рӯзи якшанбеи ба зудӣ ояндаро дар Иёлоти Муттаҳида муайян месозад.</w:t>
      </w:r>
    </w:p>
    <w:p>
      <w:pPr>
        <w:pStyle w:val="ArticleScripture"/>
        <w:jc w:val="left"/>
      </w:pPr>
      <w:r>
        <w:rPr>
          <w:rFonts w:ascii="Times New Roman" w:hAnsi="Times New Roman" w:eastAsia="Times New Roman" w:cs="Times New Roman"/>
        </w:rPr>
        <w:t>Лекин аввал он чи рӯҳонист, набуд, балки он чи табиӣ аст; ва баъд аз он он чи рӯҳонист. 1 Қӯринтиён 15:46.</w:t>
      </w:r>
    </w:p>
    <w:p>
      <w:pPr>
        <w:pStyle w:val="ArticleBody"/>
        <w:jc w:val="left"/>
      </w:pPr>
      <w:r>
        <w:rPr>
          <w:rFonts w:ascii="Times New Roman" w:hAnsi="Times New Roman" w:eastAsia="Times New Roman" w:cs="Times New Roman"/>
        </w:rPr>
        <w:t>Он қонуни якшанбе бо ояти шонздаҳум намунавор ифода шудааст, зеро «қисми зиёди таърихе, ки» дар иҷрои Дониёл ёздаҳум ба вуқӯъ пайвастааст, бояд такрор шавад. Оятҳои даҳ то понздаҳ дар айёми охир таърихи пеш аз қонуни якшанбе ва ба он овардарасонандаро ифода мекунанд.</w:t>
      </w:r>
    </w:p>
    <w:p>
      <w:pPr>
        <w:pStyle w:val="ArticleBody"/>
        <w:jc w:val="left"/>
      </w:pPr>
      <w:r>
        <w:rPr>
          <w:rFonts w:ascii="Times New Roman" w:hAnsi="Times New Roman" w:eastAsia="Times New Roman" w:cs="Times New Roman"/>
        </w:rPr>
        <w:t>Подшоҳи шимол дар он панҷ оят, ҳамчунин подшоҳи ҷануб, ки иҷрои онҳо дар шахси подшоҳи Селевкиён Антиохи Бузург ва подшоҳони мисрии салтанати Птолемей сурат гирифт, намунаи қудратҳое мебошанд, ки меҳвари таърихе ҳастанд, ки ба қонуни якшанбеи ба зудӣ фарорасанда меорад. Ин оятҳо таърихи ҳаракати саду чилу чаҳор ҳазорро муайян месозанд, зеро ояти даҳ фурӯпошии Иттиҳоди Шӯравиро дар соли 1989 муайян мекунад, ва ояти шонздаҳ — қонуни якшанбеи ба зудӣ фарорасандаро.</w:t>
      </w:r>
    </w:p>
    <w:p>
      <w:pPr>
        <w:pStyle w:val="ArticleBody"/>
        <w:jc w:val="left"/>
      </w:pPr>
      <w:r>
        <w:rPr>
          <w:rFonts w:ascii="Times New Roman" w:hAnsi="Times New Roman" w:eastAsia="Times New Roman" w:cs="Times New Roman"/>
        </w:rPr>
        <w:t>Масеҳ ин оятҳоро таъкид менамояд, зеро ояти даҳумро бо ояти чиҳилум ва ояти шонздаҳумро бо ояти чилу якум мувофиқ мегардонад. Ишораи мустақим ба замини ҷалолманди ҳақиқӣ, ки намунаи замини ҷалолманди рӯҳонии ояти чилу як аст, анҷоми ин шаш оят мебошад, ва ояти даҳум ибтидои он аст.</w:t>
      </w:r>
    </w:p>
    <w:p>
      <w:pPr>
        <w:pStyle w:val="ArticleBody"/>
        <w:jc w:val="left"/>
      </w:pPr>
      <w:r>
        <w:rPr>
          <w:rFonts w:ascii="Times New Roman" w:hAnsi="Times New Roman" w:eastAsia="Times New Roman" w:cs="Times New Roman"/>
        </w:rPr>
        <w:t>Ҳамон тавре ки Масеҳ таъмин намуд, ки ояти шонздаҳум бо ояти чилу якум пайванди мустақим дошта бошад, ҳамчунин ояти даҳум низ бо ояти чиҳилум пайванди мустақим дорад. Ифодаи дар ояти даҳум омадаи «лабрез шуда, гузар кардан» ҳамон айни ибораи ибронӣ мебошад, ки дар ояти чиҳилум ҳамчун «лабрез шуда, убур кардан» тарҷума шудааст. Ин ибора дар Навиштаҳо танҳо як ҷои дигар низ ёфт мешавад, аммо он нисбат ба ояти даҳум ва ояти чиҳилум андаке ба тарзи дигар тарҷума шудааст. Бо вуҷуди ин, он ҳамон як ибораи ибронӣ аст.</w:t>
      </w:r>
    </w:p>
    <w:p>
      <w:pPr>
        <w:pStyle w:val="ArticleScripture"/>
        <w:jc w:val="left"/>
      </w:pPr>
      <w:r>
        <w:rPr>
          <w:rFonts w:ascii="Times New Roman" w:hAnsi="Times New Roman" w:eastAsia="Times New Roman" w:cs="Times New Roman"/>
        </w:rPr>
        <w:t>Ва аз Яҳудо убур хоҳад кард; лабрез шуда, боло хоҳад рафт, то ба гардан хоҳад расид; ва густариши болҳояш паҳнои замини туро пур хоҳад кард, эй Имонуил. Ишаъё 8:8.</w:t>
      </w:r>
    </w:p>
    <w:p>
      <w:pPr>
        <w:pStyle w:val="ArticleBody"/>
        <w:jc w:val="left"/>
      </w:pPr>
      <w:r>
        <w:rPr>
          <w:rFonts w:ascii="Times New Roman" w:hAnsi="Times New Roman" w:eastAsia="Times New Roman" w:cs="Times New Roman"/>
        </w:rPr>
        <w:t>«Тӯғён карда, убур хоҳад кард»-и Ишаъё ҳамон маъноеро дорад, ки «тӯғён карда, хоҳад гузашт»-и ояти даҳ ва «тӯғён карда, убур хоҳад кард»-и ояти чил дорад. Беш аз ин, ҳар се оят ҳамлаеро аз ҷониби подшоҳи шимол бар подшоҳи ҷануб тасвир мекунанд. Дар Ишаъё, подшоҳи шимолии Ашшур, Санҳериб, бар Яҳудо, подшоҳии ҷанубии Исроил, ҳамла мекард. Дар ояти даҳ Антиохи Кабир, подшоҳи шимолии Империяи Селевкиён, бар подшоҳии ҷанубӣ, яъне Миср, ҳамла мекард. Дар ояти чил, подшоҳи шимол, қудрати папавӣ, ки дар аввали ояти чил захми марговар гирифта буд, бар қудрати ҷанубии бедин, яъне Иттиҳоди Шӯравӣ, ҳамла мекард. Ҳар як оят ҳамон як сохтори нубувватиро аз низои миёни подшоҳони шимол ва ҷануб намояндагӣ мекунад, ва дар ҳар оят подшоҳи шимол «тӯғён карда, убур хоҳад кард».</w:t>
      </w:r>
    </w:p>
    <w:p>
      <w:pPr>
        <w:pStyle w:val="ArticleBody"/>
        <w:jc w:val="left"/>
      </w:pPr>
      <w:r>
        <w:rPr>
          <w:rFonts w:ascii="Times New Roman" w:hAnsi="Times New Roman" w:eastAsia="Times New Roman" w:cs="Times New Roman"/>
        </w:rPr>
        <w:t>Шаҳодати Ишаъё ва ҳам ояти даҳум ҳар ду нишон медиҳанд, ки вақте подшоҳи шимол ҳамла мекунад, ӯ пеш аз дохил шудан ба пойтахти подшоҳии ҷанубӣ бозмеистад. Санҳориб ҷанги худро то деворҳои Ерусалим овард, ва на бештар аз он. Дар соли 219 то милод, Антиохуси Бузург то сарҳади Миср омад ва бозистод. Сипас ӯ дар ҷанги Рафия, ки ду сол баъд, дар соли 217 то милод, рӯй дод, шикаст хӯрд. Санҳориб то деворҳои Ерусалим омад ва дар он ҷанг шикаст хӯрд, зеро Худо мудохила намуд.</w:t>
      </w:r>
    </w:p>
    <w:p>
      <w:pPr>
        <w:pStyle w:val="ArticleScripture"/>
        <w:jc w:val="left"/>
      </w:pPr>
      <w:r>
        <w:rPr>
          <w:rFonts w:ascii="Times New Roman" w:hAnsi="Times New Roman" w:eastAsia="Times New Roman" w:cs="Times New Roman"/>
        </w:rPr>
        <w:t>Пас бинобар ин, Худованд дар бораи подшоҳи Ашшур чунин мегӯяд: Ӯ ба ин шаҳр нахоҳад омад, ва тире ба он ҷо нахоҳад андохт, ва бо сипар пеши он нахоҳад омад, ва бар зидди он хокрезе нахоҳад бардошт. Аз ҳамон роҳе ки омадааст, аз ҳамон роҳ бармегардад, ва ба ин шаҳр нахоҳад омад, мегӯяд Худованд. Зеро Ман ин шаҳрро ҳимоят хоҳам кард, то онро наҷот диҳам, ба хотири Худам ва ба хотири бандаи Худ Довуд. Ва он шаб воқеъ шуд, ки фариштаи Худованд берун рафт ва дар урдугоҳи ашшуриён саду ҳаштоду панҷ ҳазор нафарро зад; ва чун субҳи барвақт бархостанд, инак, ҳама ҷасадҳои мурда буданд. Пас Санҳериб, подшоҳи Ашшур, баромада рафт ва баргашта, дар Нинве сокин шуд. Ва воқеъ шуд, ҳангоме ки ӯ дар хонаи Нисрох, худои худ, ибодат мекард, ки писаронаш Адраммалик ва Шаръезер ӯро бо шамшер заданд; ва онҳо ба замини Арманистон гурехтанд. Ва писараш Асарҳаддӯн ба ҷои ӯ подшоҳӣ кард. 4 Подшоҳон 19:32–37.</w:t>
      </w:r>
    </w:p>
    <w:p>
      <w:pPr>
        <w:pStyle w:val="ArticleBody"/>
        <w:jc w:val="left"/>
      </w:pPr>
      <w:r>
        <w:rPr>
          <w:rFonts w:ascii="Times New Roman" w:hAnsi="Times New Roman" w:eastAsia="Times New Roman" w:cs="Times New Roman"/>
        </w:rPr>
        <w:t>Дар соли 1989 подшоҳи шимол Иттиҳоди Шӯравиро рӯбучин кард, вале ӯ пойтахти Иттиҳоди Шӯравиро мағлуб накард. Русия боқӣ монд. Ҷанги баъдӣ, ки дар оятҳои ёздаҳ ва дувоздаҳ ба тимсол оварда шудааст, ҷанги Рафия буд, ки инчунин бо сарнагун шудани лашкари Санҳириб ва марги баъдии худи ӯ ба тимсол оварда шудааст, ки ин пирӯзии подшоҳи ҷанубро нишон медиҳад, ки он дар шаҳодати Санҳириб Яҳудо буд, ва дар шаҳодати Антиохуси Бузург — Рафия.</w:t>
      </w:r>
    </w:p>
    <w:p>
      <w:pPr>
        <w:pStyle w:val="ArticleBody"/>
        <w:jc w:val="left"/>
      </w:pPr>
      <w:r>
        <w:rPr>
          <w:rFonts w:ascii="Times New Roman" w:hAnsi="Times New Roman" w:eastAsia="Times New Roman" w:cs="Times New Roman"/>
        </w:rPr>
        <w:t>Ояти даҳум робитаи мустақимро бо ояти чиҳил фароҳам меоварад, ва ояти шонздаҳум робитаи мустақимро бо ояти чиҳилу як таъмин мекунад. Оятҳои даҳум то шонздаҳум таърихи соли 1989-ро то қонуни якшанбе ифода мекунанд. Ин оят таърихи пинҳонеро дар ояти чиҳил ифода мекунад, ки бо фурӯпошии Иттиҳоди Шӯравӣ дар соли 1989 оғоз ёфта, то қонуни якшанбе идома меёбад. Ояти даҳум ҳамчунин «ҳафт замон»-и Ибодат 26-ро ба таври мустақим ба таърихи пинҳон мепайвандад, аммо он хатти ҳақиқат берун аз он чизест, ки мо дар ин ҷо баён менамоем.</w:t>
      </w:r>
    </w:p>
    <w:p>
      <w:pPr>
        <w:pStyle w:val="ArticleBody"/>
        <w:jc w:val="left"/>
      </w:pPr>
      <w:r>
        <w:rPr>
          <w:rFonts w:ascii="Times New Roman" w:hAnsi="Times New Roman" w:eastAsia="Times New Roman" w:cs="Times New Roman"/>
        </w:rPr>
        <w:t>Дар таърихи миллеритӣ нахустин аз шаш баҳси асосӣ дар дохили адвентизм оид ба шиносоии дурусти Рум ба вуқӯъ пайваст, ва он бар сари он буд, ки роҳзанони ояти чордаҳум киро намояндагӣ мекунанд. Протестантҳо бар он буданд, ки онҳо Антиохус Эпифанесро намояндагӣ мекунанд, ва миллеритҳо онҳоро ҳамчун Рум муайян карданд. Дар охирин баҳси адвентизм оид ба шиносоии дурусти Рум низ масъала бар сари роҳзанони ояти чордаҳум аст. Як гурӯҳ, ки миллеритҳо намояндагии онро мекунанд, фаҳмиши бунёдии миллеритҳоро, ки Рӯҳи Нубувват онро тасдиқ кардааст, ҳимоят мекунад.</w:t>
      </w:r>
    </w:p>
    <w:p>
      <w:pPr>
        <w:pStyle w:val="ArticleScripture"/>
        <w:jc w:val="left"/>
      </w:pPr>
      <w:r>
        <w:rPr>
          <w:rFonts w:ascii="Times New Roman" w:hAnsi="Times New Roman" w:eastAsia="Times New Roman" w:cs="Times New Roman"/>
        </w:rPr>
        <w:t>«Ба ман нишон дода шуд, ки ҷадвали соли 1843 бо дасти Худованд роҳнамоӣ шуда буд, ва он набояд тағйир дода шавад; ки рақамҳо ҳамон гуна буданд, ки Ӯ мехост; ки дасти Ӯ бар он буд ва иштибоҳеро дар баъзе аз рақамҳо пинҳон мекард, то ҳеҷ кас онро дида натавонад, то даме ки дасти Ӯ бардошта шуд». Early Writings, 74.</w:t>
      </w:r>
    </w:p>
    <w:p>
      <w:pPr>
        <w:pStyle w:val="ArticleBody"/>
        <w:jc w:val="left"/>
      </w:pPr>
      <w:r>
        <w:rPr>
          <w:rFonts w:ascii="Times New Roman" w:hAnsi="Times New Roman" w:eastAsia="Times New Roman" w:cs="Times New Roman"/>
        </w:rPr>
        <w:t>Он нақшаи муқаддас он мухолифатро бо ишораи соли 164 то милод муайян мекунад.</w:t>
      </w:r>
    </w:p>
    <w:p>
      <w:pPr>
        <w:pStyle w:val="ArticleScripture"/>
        <w:jc w:val="left"/>
      </w:pPr>
      <w:r>
        <w:rPr>
          <w:rFonts w:ascii="Times New Roman" w:hAnsi="Times New Roman" w:eastAsia="Times New Roman" w:cs="Times New Roman"/>
        </w:rPr>
        <w:t>«164 Марги Антиох Эпифан, ки албатта, бар зидди Сарвари сарварон набархост, зеро ӯ 164 сол пеш аз он ки Сарвари сарварон таваллуд шавад, мурда буд.»</w:t>
      </w:r>
    </w:p>
    <w:p>
      <w:pPr>
        <w:pStyle w:val="ArticleBody"/>
        <w:jc w:val="left"/>
      </w:pPr>
      <w:r>
        <w:rPr>
          <w:rFonts w:ascii="Times New Roman" w:hAnsi="Times New Roman" w:eastAsia="Times New Roman" w:cs="Times New Roman"/>
        </w:rPr>
        <w:t>Ишораи он баҳс бар ҷадвали муқаддас ягона ҳақиқатеро ифода мекунад, ки бар ҷадвали муқаддас нишон дода шудааст ва бар порчае аз пешгӯии Каломи Худо асос наёфтааст. Бо ин амал он як аломати роҳро муайян месозад, на аз таърихи Китоби Муқаддас, балки аз таърихи Адвент, ва «он набояд тағйир дода шавад», зеро он баҳс муайян месозад, ки рӯъёи пешгӯёна чӣ гуна барқарор мегардад. Рад кардани он ҳақиқати бунёдӣ ҳамзамон рад кардани эътибори тасдиқи Рӯҳи Нубувват нисбат ба ҷадвали муқаддас аст.</w:t>
      </w:r>
    </w:p>
    <w:p>
      <w:pPr>
        <w:pStyle w:val="ArticleScripture"/>
        <w:jc w:val="left"/>
      </w:pPr>
      <w:r>
        <w:rPr>
          <w:rFonts w:ascii="Times New Roman" w:hAnsi="Times New Roman" w:eastAsia="Times New Roman" w:cs="Times New Roman"/>
        </w:rPr>
        <w:t>«Фиреби охирини шайтон ин хоҳад буд, ки шаҳодати Рӯҳи Худоро беэътибор гардонад. “Ҷое ки рӯъё нест, қавм ҳалок мешавад” (Масалҳо 29:18). Шайтон бо ҳилагарии бисёр, ба роҳҳои гуногун ва тавассути василаҳои мухталиф амал хоҳад кард, то эътимоди қавми боқимондаи Худоро ба шаҳодати ҳақиқӣ мутазалзил созад. Ӯ рӯъёҳои сохтаро барои гумроҳ кардан ворид хоҳад кард, ва дурӯғро бо ростӣ омехта хоҳад сохт, то мардумро чунон безор гардонад, ки ҳар чизи дорои номи рӯъёҳоро навъе аз таассуби ифротӣ ҳисоб кунанд; аммо ҷонҳои ростқавл, бо муқоисаи дурӯғин ва ҳақиқӣ, қодир хоҳанд шуд, ки онҳоро аз ҳам фарқ намоянд». Selected Messages, book 2, 78.</w:t>
      </w:r>
    </w:p>
    <w:p>
      <w:pPr>
        <w:pStyle w:val="ArticleBody"/>
        <w:jc w:val="left"/>
      </w:pPr>
      <w:r>
        <w:rPr>
          <w:rFonts w:ascii="Times New Roman" w:hAnsi="Times New Roman" w:eastAsia="Times New Roman" w:cs="Times New Roman"/>
        </w:rPr>
        <w:t>Ихтилофи охирини «ғоратгарони қавми ту» ҳамон аст, ки аввалин буд; ва бе дарки он рамзе, ки ин рӯъёро барқарор месозад, «қавм ҳалок мешавад». Онҳо «ҳалок мешаванд», зеро «шаҳодати Рӯҳи Худоро беасар мегардонанд».</w:t>
      </w:r>
    </w:p>
    <w:p>
      <w:pPr>
        <w:pStyle w:val="ArticleBody"/>
        <w:jc w:val="left"/>
      </w:pPr>
      <w:r>
        <w:rPr>
          <w:rFonts w:ascii="Times New Roman" w:hAnsi="Times New Roman" w:eastAsia="Times New Roman" w:cs="Times New Roman"/>
        </w:rPr>
        <w:t>Синфи дигар даъво мекунад, ки Иёлоти Муттаҳида ҳамчун «ғоратгарон»-и ояти чордаҳум муаррифӣ шудааст. Он синф қодир нест ё намехоҳад бубинад, ки Антиохуси Бузург дар оятҳои даҳ то понздаҳум намояндаи Иёлоти Муттаҳида мебошад. Ҳамон тавре ки протестантҳои таърихи миллерӣ даъво мекарданд, ки ғоратгарон Антиохус буданд, ҳамон синфе ки намехоҳад бубинад, ғоратгаронро ҳамчун ҳамон қудрат (Иёлоти Муттаҳида), ки ба василаи Антиохус тимсол шудааст, муайян мекунад.</w:t>
      </w:r>
    </w:p>
    <w:p>
      <w:pPr>
        <w:pStyle w:val="ArticleBody"/>
        <w:jc w:val="left"/>
      </w:pPr>
      <w:r>
        <w:rPr>
          <w:rFonts w:ascii="Times New Roman" w:hAnsi="Times New Roman" w:eastAsia="Times New Roman" w:cs="Times New Roman"/>
        </w:rPr>
        <w:t>Ҳуҷуми Сеннахериб бар Яҳудо, ки то пойтахт — Ерусалим — расид ва ноком монд, аз ҷониби сарлашкари Сеннахериб, Рабшоқӣ, роҳбарӣ мешуд.</w:t>
      </w:r>
    </w:p>
    <w:p>
      <w:pPr>
        <w:pStyle w:val="ArticleScripture"/>
        <w:jc w:val="left"/>
      </w:pPr>
      <w:r>
        <w:rPr>
          <w:rFonts w:ascii="Times New Roman" w:hAnsi="Times New Roman" w:eastAsia="Times New Roman" w:cs="Times New Roman"/>
        </w:rPr>
        <w:t>Пас акнун, илтимос, ба хоҷаи ман — подшоҳи Ашшур — гарав бидеҳ, ва ман ба ту ду ҳазор асп хоҳам дод, агар ту аз ҷониби худ тавонӣ саворон бар онҳо бимонӣ. Пас чӣ гуна рӯйи як сарвари кӯчактарин аз бандагони хоҷаи маро бозмегардонӣ, ва бар Миср барои аробаҳо ва саворон таваккал менамоӣ? Оё ман акнун бе Парвардигор бар зидди ин макон баромадаам, то онро нобуд созам? Парвардигор ба ман гуфт: “Бар зидди ин замин баро ва онро нобуд кун”. Он гоҳ Элёқим ибни Ҳилқиё ва Шабно ва Юоҳ ба Рабшоқо гуфтанд: «Илтимос, ба бандагони худ ба забони оромӣ сухан бигӯй, зеро мо онро мефаҳмем; ва бо мо ба забони яҳудиён дар гӯши қавме ки бар ҳисор ҳастанд, сухан магӯ». Аммо Рабшоқо ба онҳо гуфт: «Оё хоҷаи ман маро назди хоҷаи ту ва назди ту фиристодааст, то ин суханонро гӯям? Оё маро назди мардуме ки бар ҳисор нишастаанд нафиристодааст, то бо шумо саргини худро бихӯранд ва пешоби худро бинӯшанд?» Он гоҳ Рабшоқо истода, ба овози баланд ба забони яҳудиён нидо кард ва сухан ронда, гуфт: «Каломи подшоҳи бузург, подшоҳи Ашшурро бишнавед». 4 Подшоҳон 18:23–28.</w:t>
      </w:r>
    </w:p>
    <w:p>
      <w:pPr>
        <w:pStyle w:val="ArticleBody"/>
        <w:jc w:val="left"/>
      </w:pPr>
      <w:r>
        <w:rPr>
          <w:rFonts w:ascii="Times New Roman" w:hAnsi="Times New Roman" w:eastAsia="Times New Roman" w:cs="Times New Roman"/>
        </w:rPr>
        <w:t>Рабшоқа на суханони худ, балки суханони Санҳариб, подшоҳи Ашшурро баён мекард. Дар Дониёл 11:40 подшоҳи шимол қудрати папистӣ мебошад, ки дар замони охир, дар соли 1798, аз дасти Фаронсаи атеистӣ — подшоҳи ҷануб — захми марговар гирифт. Дар ин оят подшоҳи шимол дар ниҳоят ҷавобан ҳамла карда, дар соли 1989 бар подшоҳии ҷануб (ИҶШС) чун сел мерезад. Вақте ки подшоҳи шимол он корро ба анҷом расонд, ӯ бо худ «аробаҳо, ва саворагон, ва киштиҳои бисёр» овард. «Аробаҳо ва саворагон» қудрати низомиро ифода мекунанд ва «киштиҳо» қудрати иқтисодиро ифода менамоянд. Ин рамзҳо Иёлоти Муттаҳидаро ҳамчун лашкари вакилонаи Руми папистӣ дар пирӯзии соли 1989, чунон ки дар симои Рабшоқа намуна шудааст, муайян месозанд. Антиохуси Бузург дар оятҳои даҳ то понздаҳ Иёлоти Муттаҳидаро ифода мекунад, ва ҳамон тавре ки Вилям Миллер дуруст муайян карда буд, ки калимаи «ҳамчунин» дар ояти чордаҳ қудрати наверо, ки ба ривояти нубувватӣ ворид мешавад, муқаррар месозад, «ғоратгарон» бояд қудрате бошанд, ки аз подшоҳони Птолемейии ҷануб, ё Антиохус — подшоҳи шимол, ё Филиппи Мақдунӣ фарқ дорад.</w:t>
      </w:r>
    </w:p>
    <w:p>
      <w:pPr>
        <w:pStyle w:val="ArticleScripture"/>
        <w:jc w:val="left"/>
      </w:pPr>
      <w:r>
        <w:rPr>
          <w:rFonts w:ascii="Times New Roman" w:hAnsi="Times New Roman" w:eastAsia="Times New Roman" w:cs="Times New Roman"/>
        </w:rPr>
        <w:t>«Подшоҳи ҷануб», дар ин оят, бе ҳеҷ шакке, подшоҳи Мисрро дар назар дорад; аммо он чи «ғоратгарони қавми ту» маъно медиҳад, шояд барои баъзеҳо ҳанӯз ҳам мавриди шак бошад. Равшан аст, ки он наметавонад Антиёхус, ё ҳеҷ подшоҳи Сурияро дар назар дошта бошад; зеро фаришта дар чандин ояти пеш аз ин дар бораи он миллат сухан гуфта буд, ва акнун мегӯяд: «ҳамчунин ғоратгарони қавми ту», ва ғайра, ки ошкоро ба миллати дигаре ишора мекунад. Ман иқрор мекунам, ки Антиёхус, шояд, яҳудиёнро ғорат карда бошад; аммо ин чӣ гуна метавонист «руъёро барқарор созад», дар ҳоле ки Антиёхус дар ҳеҷ ҷое аз руъё ҳамчун анҷомдиҳандаи чунин амале зикр нашудааст; зеро ӯ, дар руъё, ба он чи подшоҳии Юнонӣ номида мешавад, тааллуқ дошт. Боз, «то руъёро барқарор созад», бояд маънои онро дошта бошад, ки ҳамонро муҳкам, комил, ё ба иҷро расонад». William Miller, Miller’s Works, Lecture 6, 89.</w:t>
      </w:r>
    </w:p>
    <w:p>
      <w:pPr>
        <w:pStyle w:val="ArticleBody"/>
        <w:jc w:val="left"/>
      </w:pPr>
      <w:r>
        <w:rPr>
          <w:rFonts w:ascii="Times New Roman" w:hAnsi="Times New Roman" w:eastAsia="Times New Roman" w:cs="Times New Roman"/>
        </w:rPr>
        <w:t>«Антиохус» номе буд, ки бисёре аз подшоҳони империяи селевкиёни Сурия онро ихтиёр карда буданд. Бунёдгузори он империя Селевкид Никатор буд, ва дар маҷмӯъ рӯйхати пурраи подшоҳони селевкӣ аз ҷое миёни бисту шаш то сӣ подшоҳро дар бар мегирифт. Бисёре аз он подшоҳон номи «Антиохус»-ро интихоб мекарданд, ҳамон гуна ки бисёре аз попҳо ҳангоми ба мақоми попӣ баргузида шуданашон номҳои тахтнишинӣ интихоб мекунанд. Ҳамаи попҳо «зиддимасеҳ» мебошанд, ки маънояш «бар зидди Масеҳ» аст. Калимаи «анти» ба маънои «бар зидди» мебошад. Онҳо, ҳамчун зиддимасеҳон, номи пешвои рӯҳонии худро, ки Шайтон аст, гирифтаанд. Дар ваҳй попҳо ва Шайтон ҳар ду ҳамчун зиддимасеҳ шинохта мешаванд.</w:t>
      </w:r>
    </w:p>
    <w:p>
      <w:pPr>
        <w:pStyle w:val="ArticleScripture"/>
        <w:jc w:val="left"/>
      </w:pPr>
      <w:r>
        <w:rPr>
          <w:rFonts w:ascii="Times New Roman" w:hAnsi="Times New Roman" w:eastAsia="Times New Roman" w:cs="Times New Roman"/>
        </w:rPr>
        <w:t>«Қатъияти зиддимасеҳ барои амалӣ сохтани исёне, ки ӯ дар осмон оғоз карда буд, ҳамчунон дар фарзандони нофармон амал хоҳад кард». Testimonies, ҷилди 9, 230.</w:t>
      </w:r>
    </w:p>
    <w:p>
      <w:pPr>
        <w:pStyle w:val="ArticleBody"/>
        <w:jc w:val="left"/>
      </w:pPr>
      <w:r>
        <w:rPr>
          <w:rFonts w:ascii="Times New Roman" w:hAnsi="Times New Roman" w:eastAsia="Times New Roman" w:cs="Times New Roman"/>
        </w:rPr>
        <w:t>Поп намояндаи Шайтон аст, ва бинобар ин ҳар дуи онҳо муқобили Масеҳанд, ва аз ин рӯ онҳо «зиддимасеҳ» мебошанд. Онҳо ҳангоме ки мақоми попро ба уҳда мегиранд, номеро интихоб мекунанд ва намояндаи заминии Шайтон мегарданд.</w:t>
      </w:r>
    </w:p>
    <w:p>
      <w:pPr>
        <w:pStyle w:val="ArticleScripture"/>
        <w:jc w:val="left"/>
      </w:pPr>
      <w:r>
        <w:rPr>
          <w:rFonts w:ascii="Times New Roman" w:hAnsi="Times New Roman" w:eastAsia="Times New Roman" w:cs="Times New Roman"/>
        </w:rPr>
        <w:t>«Барои ба даст овардани манфиатҳо ва иззату икроми дунявӣ, калисо водор карда шуд, ки илтифот ва пуштибонии бузургони заминро биҷӯяд; ва ба ин тарз Масеҳро рад намуда, вай ба он оварда шуд, ки итоати худро ба намояндаи Шайтон — усқуфи Рум — биспорад». «Муборизаи Бузург», 50.</w:t>
      </w:r>
    </w:p>
    <w:p>
      <w:pPr>
        <w:pStyle w:val="ArticleBody"/>
        <w:jc w:val="left"/>
      </w:pPr>
      <w:r>
        <w:rPr>
          <w:rFonts w:ascii="Times New Roman" w:hAnsi="Times New Roman" w:eastAsia="Times New Roman" w:cs="Times New Roman"/>
        </w:rPr>
        <w:t>Аз рӯи аъмолашон онҳоро хоҳед шинохт, ва попҳо ҳамон кореро идома медиҳанд, ки Шайтон анҷом медиҳад.</w:t>
      </w:r>
    </w:p>
    <w:p>
      <w:pPr>
        <w:pStyle w:val="ArticleScripture"/>
        <w:jc w:val="left"/>
      </w:pPr>
      <w:r>
        <w:rPr>
          <w:rFonts w:ascii="Times New Roman" w:hAnsi="Times New Roman" w:eastAsia="Times New Roman" w:cs="Times New Roman"/>
        </w:rPr>
        <w:t>«Тавассути попи Рум ҳамон коре дар ин ҷо, бар замин, идома дода шудааст, ки пеш аз ронда шудани мири зулмот дар толорҳои осмон ба пеш бурда мешуд. Шайтон кӯшиш кард, ки шариати Худоро дар осмон ислоҳ намояд ва аз ҷониби худ ислоҳияе пешниҳод кунад. Ӯ доварии худро аз доварии Офаридгори худ болотар бардошт ва иродаи худро аз иродаи Яҳува боло гузошт, ва ба ин васила амалан эълон кард, ки Худо метавонад саҳвпазир бошад. Поп низ ҳамин роҳро пеш мегирад ва, барои худ даъвои бегуноҳиро карда, мекӯшад шариати Худоро мувофиқи андешаҳои худ танзим намояд, зеро худро қодир медонад, ки хатоҳоеро, ки ба гумони худ дар қонунҳо ва аҳкоми Худованди осмон ва замин мебинад, ислоҳ кунад. Ӯ амалан ба ҷаҳон мегӯяд: Ман ба шумо қонунҳое беҳтар аз қонунҳои Яҳува хоҳам дод. Ин чӣ гуна таҳқирест ба Худои осмон!» Signs of the Times, November 19, 1894.</w:t>
      </w:r>
    </w:p>
    <w:p>
      <w:pPr>
        <w:pStyle w:val="ArticleBody"/>
        <w:jc w:val="left"/>
      </w:pPr>
      <w:r>
        <w:rPr>
          <w:rFonts w:ascii="Times New Roman" w:hAnsi="Times New Roman" w:eastAsia="Times New Roman" w:cs="Times New Roman"/>
        </w:rPr>
        <w:t>Ҳарчанд Селевк Никатор Империяи Селевкиёнро бунёд кард, бисёре аз подшоҳони баъдӣ номи «Антиохус»-ро ба шарафи на худи Селевк, балки падараш интихоб карданд. Падари Селевк, Антиохус, ашрофзода ва сарлашкаре дар хидмати подшоҳ Филиппи II-и Мақдунӣ буд, ки падари Искандари Мақдунӣ буд. Ин мартабаи ашрофӣ ва собиқаи низомӣ ба пойдор гардидани асоси нақши барҷастаи худи Селевк ва болоравии минбаъдаи ӯ ба қудрат пас аз марги Искандари Мақдунӣ мусоидат намуд.</w:t>
      </w:r>
    </w:p>
    <w:p>
      <w:pPr>
        <w:pStyle w:val="ArticleBody"/>
        <w:jc w:val="left"/>
      </w:pPr>
      <w:r>
        <w:rPr>
          <w:rFonts w:ascii="Times New Roman" w:hAnsi="Times New Roman" w:eastAsia="Times New Roman" w:cs="Times New Roman"/>
        </w:rPr>
        <w:t>Мамлакати Селевкус он гоҳ барқарор гардид, ки ӯ се аз чор қисми мамлакати Искандарро зери ихтиёри худ даровард. Рум низ барои ба даст гирифтани ҳокимият ва подшоҳи шимол шудан, се қудрати ҷуғрофиро фатҳ мекунад. Вақте ки Селевкус шарқ, ғарб ва шимолро таҳти тасарруфи худ устувор сохт, ӯ дар ривояти таърихӣ подшоҳи шимол гардид, ва пойтахти ӯ шаҳри Бобил буд. Бисёре аз подшоҳони баъдӣ, ҳангоме ки бар тахти шимол менишастанд, барои эҳтиром гузоштан ба ниёи сиёсии худ номи «Антиохус»-ро интихоб мекарданд. Мувозӣ будани ин амрро дидан осон аст, агар хоҳӣ, ки бубинӣ. Агар нахоҳӣ, намебинӣ.</w:t>
      </w:r>
    </w:p>
    <w:p>
      <w:pPr>
        <w:pStyle w:val="ArticleBody"/>
        <w:jc w:val="left"/>
      </w:pPr>
      <w:r>
        <w:rPr>
          <w:rFonts w:ascii="Times New Roman" w:hAnsi="Times New Roman" w:eastAsia="Times New Roman" w:cs="Times New Roman"/>
        </w:rPr>
        <w:t>Номи «Антиохус» (Ἀντίοχος дар забони юнонӣ) аз унсурҳои юнонии «anti» (ба маънои «зидди» ё «муқобили») ва «ocheo» (ба маънои «маҳкам нигоҳ доштан» ё «нигоҳ доштан») бармеояд. Подшоҳони шимолӣ ин номро интихоб мекарданд, то мероси сиёсии худро бо падар нигоҳ доранд, ҳамон тавре ки зиддимасеҳ (попҳо) ҳангоми оғоз кардани ҳукмронии худ ном интихоб мекунанд. Ҳамон тавре ки попҳо намояндагони падари худ, иблис, мебошанд, ҳамчунин Антиохусҳои империяи Сурия намунаи намояндагони падари худ мебошанд. Дар ин татбиқ Антиохус намояндаи ваколатдори падари худ мебошад. Намояндаи ваколатдори қудрати папагӣ дар соли 1989 Иёлоти Муттаҳида буд, ва шаҳодати дунявӣ робитаи миёни зиддимасеҳ, Поп Иоанн Павели II, ва Роналд Рейганро дар кори онҳо барои сарнагун сохтани собиқ Иттиҳоди Шӯравӣ тасдиқ менамояд.</w:t>
      </w:r>
    </w:p>
    <w:p>
      <w:pPr>
        <w:pStyle w:val="ArticleBody"/>
        <w:jc w:val="left"/>
      </w:pPr>
      <w:r>
        <w:rPr>
          <w:rFonts w:ascii="Times New Roman" w:hAnsi="Times New Roman" w:eastAsia="Times New Roman" w:cs="Times New Roman"/>
        </w:rPr>
        <w:t>Дар оятҳои даҳ то шонздаҳ, ояти аввал ва охирин ба оятҳои чил ва чилу як ишораҳои мустақим доранд. Ояти даҳ бевосита намояндаи ояти чил аст. Ояти шонздаҳ бевосита намояндаи ояти чилу як аст. Ин оятҳо он қисми нубуввати Дониёлро ифода мекунанд, ки ба айёми охир дахл дорад.</w:t>
      </w:r>
    </w:p>
    <w:p>
      <w:pPr>
        <w:pStyle w:val="ArticleScripture"/>
        <w:jc w:val="left"/>
      </w:pPr>
      <w:r>
        <w:rPr>
          <w:rFonts w:ascii="Times New Roman" w:hAnsi="Times New Roman" w:eastAsia="Times New Roman" w:cs="Times New Roman"/>
        </w:rPr>
        <w:t>«Китобе, ки муҳр зада шуда буд, китоби Ваҳй набуд, балки он қисми нубуввати Дониёл буд, ки ба рӯзҳои охир тааллуқ дошт. Навиштаҷот мегӯяд: “Вале ту, эй Дониёл, ин суханонро пинҳон дор ва китобро то вақти охир муҳр намо; бисёре ба ҳар сӯ хоҳад шитофт, ва дониш афзун хоҳад шуд” (Дониёл 12:4). Вақте ки китоб кушода шуд, ин эълон садо дод: “Вақт дигар нахоҳад буд.” (Нигаред ба Ваҳй 10:6.) Китоби Дониёл акнун аз муҳр бароварда шудааст, ва он ваҳйе, ки Масеҳ ба Юҳанно дод, бояд ба ҳамаи сокинони замин бирасад. Ба воситаи афзоиши дониш қавме бояд омода гардад, то дар рӯзҳои охир истодагӣ намояд....»</w:t>
      </w:r>
    </w:p>
    <w:p>
      <w:pPr>
        <w:pStyle w:val="ArticleScripture"/>
        <w:jc w:val="left"/>
      </w:pPr>
      <w:r>
        <w:rPr>
          <w:rFonts w:ascii="Times New Roman" w:hAnsi="Times New Roman" w:eastAsia="Times New Roman" w:cs="Times New Roman"/>
        </w:rPr>
        <w:t>«Дар паёми фариштаи якум одамон даъват карда мешаванд, ки Худоро, Офаридгори мо, ки ҷаҳон ва ҳар он чиро, ки дар он аст, офаридааст, ибодат намоянд. Онҳо ба як ниҳоди папагӣ эҳтиром гузоштаанд ва ба ин васила шариати Яҳуваро беасар гардонидаанд; вале дар ин мавзӯъ афзоиши дониш хоҳад буд». Selected Messages, book 2, 105, 106.</w:t>
      </w:r>
    </w:p>
    <w:p>
      <w:pPr>
        <w:pStyle w:val="ArticleBody"/>
        <w:jc w:val="left"/>
      </w:pPr>
      <w:r>
        <w:rPr>
          <w:rFonts w:ascii="Times New Roman" w:hAnsi="Times New Roman" w:eastAsia="Times New Roman" w:cs="Times New Roman"/>
        </w:rPr>
        <w:t>Дар вақти интиҳо дар соли 1989 шаш ояти охирини боби ёздаҳуми Дониёл «қисми пешгӯии Дониёл»-ро ифода мекунанд, ки «ба рӯзҳои охир дахл дошт». Ин амр ҳангоми он ки он вақт муҳр аз он бардошта шуд, шинохта гардид, ва он муҳркушоӣ боиси афзоиши дониш дар бораи «барқарор гардидани Папагӣ, беэътибор гардонидани қонуни Яҳува» шуд. Алфа ва Омега ҳамеша интиҳоро бо ибтидо тасвир мекунад, ва раванди озмоише, ки дар соли 1989 оғоз ёфт, барои ба вуҷуд овардани ду табақаи парастишкунандагон тарҳрезӣ шуда буд.</w:t>
      </w:r>
    </w:p>
    <w:p>
      <w:pPr>
        <w:pStyle w:val="ArticleScripture"/>
        <w:jc w:val="left"/>
      </w:pPr>
      <w:r>
        <w:rPr>
          <w:rFonts w:ascii="Times New Roman" w:hAnsi="Times New Roman" w:eastAsia="Times New Roman" w:cs="Times New Roman"/>
        </w:rPr>
        <w:t>Ва ӯ гуфт: «Бирав, эй Дониёл; зеро ин суханон то вақти интиҳо баста ва мӯҳр шудаанд. Бисёре пок карда хоҳанд шуд, ва сафед гардонида хоҳанд шуд, ва озмуда хоҳанд шуд; вале шарирон шарорат хоҳанд кард; ва ҳеҷ яке аз шарирон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Ҳоло мо дар давраи ниҳоии он раванди озмоиш қарор дорем, зеро баҳси дуздон дар оғози адвентизм ҳоло боз такрор мегардад. Дуздонро ҳамчун Иёлоти Муттаҳидаи Амрико муайян кардан, баробари он аст, ки Антиохусро ҳамчун дуздон муайян намоем. Ин ҳамон баҳси айни ҳамон Миллеритҳо ва протестантҳо мебошад.</w:t>
      </w:r>
    </w:p>
    <w:p>
      <w:pPr>
        <w:pStyle w:val="ArticleBody"/>
        <w:jc w:val="left"/>
      </w:pPr>
      <w:r>
        <w:rPr>
          <w:rFonts w:ascii="Times New Roman" w:hAnsi="Times New Roman" w:eastAsia="Times New Roman" w:cs="Times New Roman"/>
        </w:rPr>
        <w:t>Дар анҷоми раванди озмоиш, ҳамон тавре ки дар оғози раванди озмоиш, ки соли 1989 оғоз ёфт, Шери сибти Яҳудо «он қисми нубуввати Дониёлро, ки ба айёми охир тааллуқ дошт», мекушояд. Дар соли 1989 он шаш ояти охирини боби ёздаҳуми Дониёл буд, ва дар поён он таърихи пинҳони ояти чиҳил аст, ки ба воситаи оятҳои даҳ то шонздаҳ тимсол шудааст.</w:t>
      </w:r>
    </w:p>
    <w:p>
      <w:pPr>
        <w:pStyle w:val="ArticleBody"/>
        <w:jc w:val="left"/>
      </w:pPr>
      <w:r>
        <w:rPr>
          <w:rFonts w:ascii="Times New Roman" w:hAnsi="Times New Roman" w:eastAsia="Times New Roman" w:cs="Times New Roman"/>
        </w:rPr>
        <w:t>Мо баррасии худро дар бораи шаш хатти баҳсҳо дар дохили таърихи Адвентизм дар мақолаҳои баъдӣ идома хоҳем дод. Аввали он шаш баҳс, охирини он шаш баҳсро ба тасвир меорад. Мо аз баҳсҳои аввал ва охирин истифода хоҳем бурд, то чаҳор баҳси дигарро бар онҳо татбиқ намоем, ҳангоме ки мо унсурҳои марбут ба кӯшишҳои душмани адолатро ошкор месозем, ки мехоҳад мардуми Худоро аз дуруст тақсим намудани «рӯъё», ки бо рамзи Рум муқаррар гардидааст, боздорад.</w:t>
      </w:r>
    </w:p>
    <w:p>
      <w:pPr>
        <w:pStyle w:val="ArticleScripture"/>
        <w:jc w:val="left"/>
      </w:pPr>
      <w:r>
        <w:rPr>
          <w:rFonts w:ascii="Times New Roman" w:hAnsi="Times New Roman" w:eastAsia="Times New Roman" w:cs="Times New Roman"/>
        </w:rPr>
        <w:t>«Агар мо аҳамияти лаҳзаҳоеро, ки босуръат ба абадият мегузаранд, дарк накунем ва барои истодан дар рӯзи бузурги Худо омода нашавем, мо амонатдорони бевафо хоҳем буд. Посбон бояд вақти шабро донад. Ҳама чиз акнун бо чунон ҷиддият фаро гирифта шудааст, ки ҳамаи онҳое ки ба ҳақиқати барои ин замон таъиншуда имон доранд, бояд онро дарк намоянд. Онҳо бояд бо назардошти рӯзи Худо амал кунанд. Доварии Худо наздик аст, ки бар ҷаҳон фуруд ояд, ва мо бояд барои он рӯзи бузург омодагӣ бинем.»</w:t>
      </w:r>
    </w:p>
    <w:p>
      <w:pPr>
        <w:pStyle w:val="ArticleScripture"/>
        <w:jc w:val="left"/>
      </w:pPr>
      <w:r>
        <w:rPr>
          <w:rFonts w:ascii="Times New Roman" w:hAnsi="Times New Roman" w:eastAsia="Times New Roman" w:cs="Times New Roman"/>
        </w:rPr>
        <w:t>«Вақти мо қиматбаҳост. Мо фақат чанд рӯз, бисёр ҳам чанд рӯз аз муҳлати имтиҳон дорем, то барои ҳаёти оянда, ҷовидона, омода шавем. Мо вақте надорем, ки онро ба амалҳои бенизом ва тасодуфӣ сарф кунем. Мо бояд битарсем, ки аз рӯи сатҳи Каломи Худо гузарем». Шаҳодатҳо, ҷилди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мекунад — рақами панҷ</dc:title>
  <dc:subject>Ошкор сохтани баҳсҳои такрории нубувватӣ дар Адвентизм: дарк кардани Ғоратгарони қавми ту</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