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рӯъёро барқарор мекунад — Рақами Ҳашт</w:t>
      </w:r>
    </w:p>
    <w:p>
      <w:pPr>
        <w:pStyle w:val="ArticleSubtitle"/>
        <w:jc w:val="left"/>
      </w:pPr>
      <w:r>
        <w:rPr>
          <w:rFonts w:ascii="Arial" w:hAnsi="Arial" w:eastAsia="Arial" w:cs="Arial"/>
        </w:rPr>
        <w:t>Бунёдҳои регӣ: Радди ҳақиқати нубувватӣ дар адвентизми Лодикия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Дар мақолаи охирин мо ба суханони зерини Исо ишора кардем.</w:t>
      </w:r>
    </w:p>
    <w:p>
      <w:pPr>
        <w:pStyle w:val="ArticleScripture"/>
        <w:jc w:val="left"/>
      </w:pPr>
      <w:r>
        <w:rPr>
          <w:rFonts w:ascii="Times New Roman" w:hAnsi="Times New Roman" w:eastAsia="Times New Roman" w:cs="Times New Roman"/>
        </w:rPr>
        <w:t>Аз анбиёи дурӯғин ҳазар кунед, ки назди шумо дар либоси гӯсфандон меоянд, вале дар ботин гургони даррандаанд. Шумо онҳоро аз рӯи меваҳояшон хоҳед шинохт. Оё мардум аз хор ангур мечинанд, ё аз хас фиг? Ҳамчунин ҳар дарахти нек меваи нек меоварад; аммо дарахти фосид меваи бад меоварад. Дарахти нек наметавонад меваи бад оварад, ва дарахти фосид наметавонад меваи нек оварад. Ҳар дарахте ки меваи нек намеоварад, бурида шуда, ба оташ андохта мешавад. Пас, онҳоро аз рӯи меваҳояшон хоҳед шинохт. На ҳар касе ки ба Ман мегӯяд: «Худовандо, Худовандо», ба Малакути Осмон дохил хоҳад шуд, балки он касе ки иродаи Падари Маро, ки дар осмон аст, ба ҷо меоварад. Бисёр касон дар он рӯз ба Ман хоҳанд гуфт: «Худовандо, Худовандо, оё ба номи Ту нубувват накардем? ва ба номи Ту девҳоро берун нарондем? ва ба номи Ту корҳои бисёр аҷоиб накардем?» Ва он гоҳ ба онҳо ошкоро хоҳам гуфт: «Ман ҳаргиз шуморо нашинохтаам; аз Ман дур шавед, эй бадкорон». Пас, ҳар касе ки ин суханони Маро мешунавад ва онҳоро ба ҷо меоварад, ӯро ба марди хирадманде монанд хоҳам кард, ки хонаи худро бар сахрае бино кард. Ва борон борид, ва селҳо омаданд, ва бодҳо вазиданд, ва ба он хона заданд; аммо он нафурӯ рехт, зеро бар сахра бунёд ёфта буд. Ва ҳар касе ки ин суханони Маро мешунавад ва онҳоро ба ҷо намеоварад, ба марди нодоне монанд карда хоҳад шуд, ки хонаи худро бар рег бино кард. Ва борон борид, ва селҳо омаданд, ва бодҳо вазиданд, ва ба он хона заданд; ва он фурӯ рехт; ва суқути он бузург буд. Матто 7:15–27.</w:t>
      </w:r>
    </w:p>
    <w:p>
      <w:pPr>
        <w:pStyle w:val="ArticleBody"/>
        <w:jc w:val="left"/>
      </w:pPr>
      <w:r>
        <w:rPr>
          <w:rFonts w:ascii="Times New Roman" w:hAnsi="Times New Roman" w:eastAsia="Times New Roman" w:cs="Times New Roman"/>
        </w:rPr>
        <w:t>Исёни соли 1863 оғози онро нишон медиҳад, ки Адвентизми Ҳафтуми рӯзи Лоодикия бар реги таҳкурсии дурӯғин месозад. Рег рамзи усули шайтонӣ—яъне плюрализм аст, дар муқобили Санг, ки рамзи ҳақиқати мутлақ мебошад. Ҳақиқати мутлақ бар ду шоҳид устувор мегардад, ва ҳақиқатҳое, ки дар ду ҷадвали муқаддаси Ҳабаққуқ ифода ёфтаанд, ва онҳоро Адвентизм тадриҷан канор гузоштааст, аз Китоби Муқаддас бармеоянд ва аз ҷониби Рӯҳи Нубувват тасдиқ мегарданд. Он ҳақиқатҳо мутлақанд.</w:t>
      </w:r>
    </w:p>
    <w:p>
      <w:pPr>
        <w:pStyle w:val="ArticleScripture"/>
        <w:jc w:val="left"/>
      </w:pPr>
      <w:r>
        <w:rPr>
          <w:rFonts w:ascii="Times New Roman" w:hAnsi="Times New Roman" w:eastAsia="Times New Roman" w:cs="Times New Roman"/>
        </w:rPr>
        <w:t>«Душман мекӯшад, ки зеҳни бародарону хоҳарони моро аз кори тайёр сохтани қавме, ки дар ин рӯзҳои охир устувор истанд, ба сӯйи дигар гардонад. Софистикои ӯ ба он равона шудаанд, ки зеҳнҳоро аз хатарҳо ва вазифаҳои ин соат дур созанд. Онҳо нуре, ки Масеҳ аз осмон омад, то барои қавми Худ онро ба Юҳанно бидиҳад, камарзиш мешуморанд. Онҳо таълим медиҳанд, ки манзараҳое, ки акнун пеши рӯйи мо қарор доранд, он қадар аҳаммият надоранд, ки сазовори таваҷҷуҳи махсус бошанд. Онҳо ҳақиқатеро, ки асли осмонӣ дорад, бетаъсир мегардонанд ва қавми Худоро аз таҷрибаи гузаштаашон маҳрум месозанд ва ба ҷойи он ба онҳо илми козиб медиҳанд. «Худованд чунин мегӯяд: Дар роҳҳо биистед, ва бингаред, ва аз роҳҳои қадим бипурсед, ки роҳи некӯ куҷост, ва дар он қадам занед». [Ирмиё 6:16.]»</w:t>
      </w:r>
    </w:p>
    <w:p>
      <w:pPr>
        <w:pStyle w:val="ArticleScripture"/>
        <w:jc w:val="left"/>
      </w:pPr>
      <w:r>
        <w:rPr>
          <w:rFonts w:ascii="Times New Roman" w:hAnsi="Times New Roman" w:eastAsia="Times New Roman" w:cs="Times New Roman"/>
        </w:rPr>
        <w:t>«Ҳеҷ кас накушад, ки пояҳои имони моро канда дур андозад,—он пояҳое, ки дар оғози кори мо, бо омӯзиши Каломи Худо дар рӯҳи дуо ва бо ваҳй гузошта шуданд. Бар ин пояҳо мо зиёда аз панҷоҳ сол аст, ки бино карда истодаем. Одамон метавонанд гумон кунанд, ки роҳи наверо ёфтаанд, ки метавонанд пояе қавитар аз он чи гузошта шудааст, бино намоянд; вале ин фиреби бузург аст. “Зеро ҳеҷ кас наметавонад пояи дигаре ҷуз он чи гузошта шудааст, бимонад.” [1 Corinthians 3:11.] Дар гузашта, бисёриҳо кӯшиш кардаанд, ки имони наверо бино кунанд, усулҳои наверо барқарор намоянд; аммо бинои онҳо то чӣ муддат пойдор монд? Он ба зудӣ фурӯ рехт; зеро бар Сахра бунёд наёфта буд». Testimonies, volume 8, 296–297.</w:t>
      </w:r>
    </w:p>
    <w:p>
      <w:pPr>
        <w:pStyle w:val="ArticleBody"/>
        <w:jc w:val="left"/>
      </w:pPr>
      <w:r>
        <w:rPr>
          <w:rFonts w:ascii="Times New Roman" w:hAnsi="Times New Roman" w:eastAsia="Times New Roman" w:cs="Times New Roman"/>
        </w:rPr>
        <w:t>Ҳангоме ки 11 сентябри соли 2001 фаро расид, боронҳои Рӯҳулқудс низ фаро расиданд.</w:t>
      </w:r>
    </w:p>
    <w:p>
      <w:pPr>
        <w:pStyle w:val="ArticleScripture"/>
        <w:jc w:val="left"/>
      </w:pPr>
      <w:r>
        <w:rPr>
          <w:rFonts w:ascii="Times New Roman" w:hAnsi="Times New Roman" w:eastAsia="Times New Roman" w:cs="Times New Roman"/>
        </w:rPr>
        <w:t>«Борони охирин бояд бар қавми Худо бирезад. Фариштаи қудратманде бояд аз осмон нузул кунад, ва тамоми замин аз ҷалоли ӯ мунаввар гардад». Review and Herald, April 21, 1891.</w:t>
      </w:r>
    </w:p>
    <w:p>
      <w:pPr>
        <w:pStyle w:val="ArticleBody"/>
        <w:jc w:val="left"/>
      </w:pPr>
      <w:r>
        <w:rPr>
          <w:rFonts w:ascii="Times New Roman" w:hAnsi="Times New Roman" w:eastAsia="Times New Roman" w:cs="Times New Roman"/>
        </w:rPr>
        <w:t>Вақте ки иморатҳои азими шаҳри Ню-Йорк бо ламси Худо фурӯ андохта шуданд, борони дерин оғоз ба пошидан кард. Вақте ки 11 сентябри соли 2001 фаро расид, оббандҳои усулҳои папавӣ кушода шуданд.</w:t>
      </w:r>
    </w:p>
    <w:p>
      <w:pPr>
        <w:pStyle w:val="ArticleScripture"/>
        <w:jc w:val="left"/>
      </w:pPr>
      <w:r>
        <w:rPr>
          <w:rFonts w:ascii="Times New Roman" w:hAnsi="Times New Roman" w:eastAsia="Times New Roman" w:cs="Times New Roman"/>
        </w:rPr>
        <w:t>«Дар ин замони густариши бадкирдорӣ, калисоҳои протестантӣ, ки «Ҳамин тавр мегӯяд Худованд»-ро рад кардаанд, ба ҳолати аҷибе хоҳанд расид. Онҳо ба ҷаҳон гароиш хоҳанд ёфт. Дар ҷудоии худ аз Худо, онҳо хоҳанд кӯшид, ки дурӯғ ва иртидод аз Худоро қонуни миллат гардонанд. Онҳо бар ҳокимони кишвар таъсир хоҳанд расонд, то қонунҳое бароранд, ки бартарии аздастрафтаи одами гуноҳро барқарор созанд, ҳамон касе ки дар маъбади Худо менишинад ва худро чунин нишон медиҳад, ки гӯё ӯ Худо бошад. Принсипҳои католикии румӣ зери ҳимояи давлат гирифта хоҳанд шуд. Эътирози ҳақиқати Китоби Муқаддас дигар аз ҷониби онҳое, ки қонуни Худоро меъёри зиндагии худ насохтаанд, таҳаммул карда нахоҳад шуд». Review and Herald, December 21, 1897.</w:t>
      </w:r>
    </w:p>
    <w:p>
      <w:pPr>
        <w:pStyle w:val="ArticleBody"/>
        <w:jc w:val="left"/>
      </w:pPr>
      <w:r>
        <w:rPr>
          <w:rFonts w:ascii="Times New Roman" w:hAnsi="Times New Roman" w:eastAsia="Times New Roman" w:cs="Times New Roman"/>
        </w:rPr>
        <w:t>Санади Patriot оғози ҳимояи усулҳои Католикии Румро нишон медиҳад, ки он тадриҷан ба қонуни якшанбеи ба наздикӣ оянда мебарад. 11 сентябри соли 2001 чор боде, ки исломро аз войи сеюм намояндагӣ мекунанд, ба вазидан оғоз карданд.</w:t>
      </w:r>
    </w:p>
    <w:p>
      <w:pPr>
        <w:pStyle w:val="ArticleScripture"/>
        <w:jc w:val="left"/>
      </w:pPr>
      <w:r>
        <w:rPr>
          <w:rFonts w:ascii="Times New Roman" w:hAnsi="Times New Roman" w:eastAsia="Times New Roman" w:cs="Times New Roman"/>
        </w:rPr>
        <w:t>«Фариштагон чор бодро нигоҳ медоранд, ки чун аспи хашмгин тасвир шудааст, мехоҳад канда равад ва бар рӯи тамоми замин тохта гузарад ва дар роҳи худ харобӣ ва марг оварад.</w:t>
      </w:r>
    </w:p>
    <w:p>
      <w:pPr>
        <w:pStyle w:val="ArticleScripture"/>
        <w:jc w:val="left"/>
      </w:pPr>
      <w:r>
        <w:rPr>
          <w:rFonts w:ascii="Times New Roman" w:hAnsi="Times New Roman" w:eastAsia="Times New Roman" w:cs="Times New Roman"/>
        </w:rPr>
        <w:t>«Оё мо бояд дар худи лаби олами абадӣ хуфта бошем? Оё мо бояд кунд ва сард ва мурда бошем? Оҳ, кош дар калисоҳои мо Рӯҳ ва нафаси Худо, ки бар қавми Ӯ дамида мешавад, бошад, то онҳо бар поҳои худ биистанд ва зинда гарданд. Мо бояд бубинем, ки роҳ танг аст ва дарвоза маҳдуд. Аммо чун аз дарвозаи танг мегузарем, фарохии он ҳадду канор надорад». Manuscript Releases, volume 20, 217.</w:t>
      </w:r>
    </w:p>
    <w:p>
      <w:pPr>
        <w:pStyle w:val="ArticleBody"/>
        <w:jc w:val="left"/>
      </w:pPr>
      <w:r>
        <w:rPr>
          <w:rFonts w:ascii="Times New Roman" w:hAnsi="Times New Roman" w:eastAsia="Times New Roman" w:cs="Times New Roman"/>
        </w:rPr>
        <w:t>Борон, шамол ва сел 11 сентябри соли 2001 фаро расиданд, ва калисои Лаодикияи Адвентистони рӯзи ҳафтуми боқимонда озмуда шуд, чунон ки яҳудиён ҳангоми таъмиди Масеҳ озмуда шуда буданд, ва чунон ки протестантҳо аз 11 августи соли 1840 оғоз ёфта озмуда шуданд. Аз он нуқта то пешгӯии исёнкоронаи 18 июли соли 2020, хонаи Лаодикияи Адвентистони рӯзи ҳафтуми боқимонда тадриҷан фурӯ рехт, ҳамон гуна ки маъбади яҳудиён пеш аз салиб ба таври қатъӣ вайрону холӣ эълон гардида буд, ва ҳамон гуна ки протестантҳо дар нахустин ноумедии 19 апрели соли 1844 ба протестантизми муртад гузаштанд.</w:t>
      </w:r>
    </w:p>
    <w:p>
      <w:pPr>
        <w:pStyle w:val="ArticleBody"/>
        <w:jc w:val="left"/>
      </w:pPr>
      <w:r>
        <w:rPr>
          <w:rFonts w:ascii="Times New Roman" w:hAnsi="Times New Roman" w:eastAsia="Times New Roman" w:cs="Times New Roman"/>
        </w:rPr>
        <w:t>Сипас ҷунбиши Лоудиқиягии фариштаи сеюм ба раванди ниҳоии озмоиши худ ворид гардид, ва ҳамон гуна ки бо озмоише, ки 11 сентябри соли 2001 оғоз ёфт, бокирагон даъват шуданд, ки ба роҳҳои қадим бозгарданд, ки онҳо ҳақоиқи бунёдии на танҳо ҷунбиши миллерии фариштаи якум ва дуюм, балки ҳамчунин ҳақоиқи бунёдии ҷунбиши фариштаи сеюм буданд.</w:t>
      </w:r>
    </w:p>
    <w:p>
      <w:pPr>
        <w:pStyle w:val="ArticleBody"/>
        <w:jc w:val="left"/>
      </w:pPr>
      <w:r>
        <w:rPr>
          <w:rFonts w:ascii="Times New Roman" w:hAnsi="Times New Roman" w:eastAsia="Times New Roman" w:cs="Times New Roman"/>
        </w:rPr>
        <w:t>Рамзи рад кардани он ҳақиқатҳои бунёдӣ дар заминаи фиреби сахт ҳамон паёмест, ки Павлус дар Номаи Дуюм ба Таслӯникиён сабт кардааст. Он паём дар китоби Дониёл бо «қурбонии доимӣ» рамзонида шудааст, зеро маҳз дар порчаи Таслӯникиён Вилям Миллер ба фаҳмидани он расид, ки «қурбонии доимӣ» дар китоби Дониёл Руми бутпарастро ифода мекунад.</w:t>
      </w:r>
    </w:p>
    <w:p>
      <w:pPr>
        <w:pStyle w:val="ArticleBody"/>
        <w:jc w:val="left"/>
      </w:pPr>
      <w:r>
        <w:rPr>
          <w:rFonts w:ascii="Times New Roman" w:hAnsi="Times New Roman" w:eastAsia="Times New Roman" w:cs="Times New Roman"/>
        </w:rPr>
        <w:t>Китобҳое навишта шудаанд, ки ба таърифи «ҳамарӯза» дар китоби Дониёл мепардозанд. Аксари онҳо иштибоҳӣ ҳастанд, гарчанде агар хоҳед матлаберо аз як илоҳиётшиноси адвентистӣ, ки ин масъаларо дуруст баён мекунад, мутолиа намоед, метавонед асари «The Mystery of the Daily»-и John W. Peters-ро пайдо кунед. Ман қасд надорам, ки дар ин мақола ба он ҷанбаи «ҳамарӯза» бипардозам. Ҳамчунин китобҳои дигаре низ ҳастанд, ки таърихи «кӣ, чӣ ва чаро»-ро фаро мегиранд, ки чӣ гуна диди бардурӯғ дар бораи «ҳамарӯза» дар ниҳоят дар миёни Адвентизми Лаодикиявии Рӯзи Ҳафтум муқаррар гардид.</w:t>
      </w:r>
    </w:p>
    <w:p>
      <w:pPr>
        <w:pStyle w:val="ArticleBody"/>
        <w:jc w:val="left"/>
      </w:pPr>
      <w:r>
        <w:rPr>
          <w:rFonts w:ascii="Times New Roman" w:hAnsi="Times New Roman" w:eastAsia="Times New Roman" w:cs="Times New Roman"/>
        </w:rPr>
        <w:t>Таърифи калимаи ибронӣ, ки ҳамчун «доимӣ» тарҷума шудааст, ва таърихи исён бар зидди ҳақиқати асосии «доимӣ», ки ба таври ҷиддӣ аз соли 1901 оғоз ёфт, борҳо дар «Ҷадвалҳои Ҳабаққуқ» ва ҳамчунин дар мақолаҳои охирин оид ба китоби Дониёл баён гардидааст.</w:t>
      </w:r>
    </w:p>
    <w:p>
      <w:pPr>
        <w:pStyle w:val="ArticleBody"/>
        <w:jc w:val="left"/>
      </w:pPr>
      <w:r>
        <w:rPr>
          <w:rFonts w:ascii="Times New Roman" w:hAnsi="Times New Roman" w:eastAsia="Times New Roman" w:cs="Times New Roman"/>
        </w:rPr>
        <w:t>Ман ният дорам, ки дар ин мақола диққати «қурбонии ҳаррӯза»-ро бар хусусиятҳои нубувватие нигоҳ дорам, ки ба рамзи рад шудани Рум вобастаанд. Ҳар касе, ки ба таври воқеӣ ҳокимияти навиштаҳои Эллен Уайтро мепазирад, танҳо лозим аст матни зеринро бихонад, то бидонад, ки фаҳмиши дурусти «қурбонии ҳаррӯза» кадом аст.</w:t>
      </w:r>
    </w:p>
    <w:p>
      <w:pPr>
        <w:pStyle w:val="ArticleScripture"/>
        <w:jc w:val="left"/>
      </w:pPr>
      <w:r>
        <w:rPr>
          <w:rFonts w:ascii="Times New Roman" w:hAnsi="Times New Roman" w:eastAsia="Times New Roman" w:cs="Times New Roman"/>
        </w:rPr>
        <w:t>«Пас ман дар мавриди “Қурбонии доимӣ” дидам, ки калимаи “қурбонӣ” аз ҷониби хиради инсон илова шудааст ва ба матн тааллуқ надорад; ва ки Худованд фаҳмиши дурусти онро ба онҳое дод, ки нидои соати довариро эълон мекарданд. Вақте ки ваҳдат вуҷуд дошт, пеш аз соли 1844, қариб ҳамаи онҳо дар фаҳмиши дурусти “Қурбонии доимӣ” муттаҳид буданд; аммо аз соли 1844, дар миёни сардаргумӣ, назарҳои дигар пазируфта шуданд, ва торикӣ ва сардаргумӣ аз пайи он омад.» Review and Herald, November 1, 1850.</w:t>
      </w:r>
    </w:p>
    <w:p>
      <w:pPr>
        <w:pStyle w:val="ArticleBody"/>
        <w:jc w:val="left"/>
      </w:pPr>
      <w:r>
        <w:rPr>
          <w:rFonts w:ascii="Times New Roman" w:hAnsi="Times New Roman" w:eastAsia="Times New Roman" w:cs="Times New Roman"/>
        </w:rPr>
        <w:t>Рад намудани фаҳмиши Уилям Миллер дар бораи «рӯзмарра» ҳамзамон рад намудани эътибори навиштаҳои Эллен Уайт мебошад, зеро ӯ дид, ки «Худованд назари дурусти онро ба онҳое дод, ки нидои соати довариро эълон карданд». Ҳамчунин ба ӯ нишон дода шуд, ки назариёти дигари «рӯзмарра» «торикӣ ва ошуфтагӣ»-ро ба вуҷуд меоварданд, ки инҳо хосиятҳои Масеҳ нестанд. Миллер ҳангоми омӯзиши Дуюм Таслӯникиён «рӯзмарра»-ро ҳамчун Руми бутпараст шинохт.</w:t>
      </w:r>
    </w:p>
    <w:p>
      <w:pPr>
        <w:pStyle w:val="ArticleScripture"/>
        <w:jc w:val="left"/>
      </w:pPr>
      <w:r>
        <w:rPr>
          <w:rFonts w:ascii="Times New Roman" w:hAnsi="Times New Roman" w:eastAsia="Times New Roman" w:cs="Times New Roman"/>
        </w:rPr>
        <w:t>«Ман хонданро идома додам ва ғайр аз Дониёл ҳеҷ мавриди дигаре наёфтам, ки дар он ин [қурбонии доимӣ] зикр шуда бошад. Сипас ман [бо ёрии як конкорданс] он суханонеро, ки бо он вобаста буданд, гирифтам: “дур кардан”; ӯ қурбонии доимиро дур хоҳад кард; “аз вақте ки қурбонии доимӣ дур карда шавад,” ва ғайра. Ман боз ҳам хонданро идома додам ва гумон мекардам, ки бар ин матн ҳеҷ рӯшное нахоҳам ёфт; ниҳоят ба 2 Таслӯникиён 2:7, 8 расидам. “Зеро сирри шарорат аллакай амал мекунад; фақат он касе ки акнун бозмедорад, боз хоҳад дошт, то он даме ки аз миён гирифта шавад, ва он гоҳ он бадкор ошкор хоҳад шуд,” ва ғайра. Ва ҳангоме ки ман ба он матн расидам, оҳ, чӣ қадар ҳақиқат равшан ва пурҷалол намудор гардид! Ҳамин аст! Ин ҳамон қурбонии доимист! Хуб, акнун, Павлус аз “он касе ки акнун бозмедорад”, ё монеъ мешавад, чӣ маънӣ дорад? Аз “марди гуноҳ” ва “бадкор” Попизм дар назар аст. Хуб, пас он чист, ки аз ошкор шудани Попизм монеъ мегардад? Чаро, он бутпарастист; пас, “қурбонии доимӣ” бояд бутпарастӣ маънӣ диҳад».—William Miller, Second Advent Manual, саҳифаи 66». Advent Review and Sabbath Herald, 6 январи 1853.</w:t>
      </w:r>
    </w:p>
    <w:p>
      <w:pPr>
        <w:pStyle w:val="ArticleBody"/>
        <w:jc w:val="left"/>
      </w:pPr>
      <w:r>
        <w:rPr>
          <w:rFonts w:ascii="Times New Roman" w:hAnsi="Times New Roman" w:eastAsia="Times New Roman" w:cs="Times New Roman"/>
        </w:rPr>
        <w:t>Дар ниҳоят, адвентизми Лаодикия фаҳмиши дурустеро, ки ба Миллер ва ба онҳое дода шуда буд, ки нидои соати довариро эълон карданд, канор гузошт ва ба ҷойи он андешаи ғалати протестантизми муртадро пазируфт, ки мувофиқи он «ҳамешагӣ» хизмати муқаддасгоҳи Масеҳро ифода мекарда бошад. Ин фаҳмиш аз бисёр ҷиҳатҳо беҳуда ва бемаънӣ аст, аммо илова бар он ки ботил аст, иддао мекунад, ки рамзи шайтонӣ рамзи Масеҳ аст.</w:t>
      </w:r>
    </w:p>
    <w:p>
      <w:pPr>
        <w:pStyle w:val="ArticleScripture"/>
        <w:jc w:val="left"/>
      </w:pPr>
      <w:r>
        <w:rPr>
          <w:rFonts w:ascii="Times New Roman" w:hAnsi="Times New Roman" w:eastAsia="Times New Roman" w:cs="Times New Roman"/>
        </w:rPr>
        <w:t>«Пас, дар ҳоле ки аждаҳо, пеш аз ҳама, Шайтонро ифода мекунад, он, ба маънои дуюмдараҷа, рамзи Руми бутпараст мебошад». «Муборизаи Бузург», 439.</w:t>
      </w:r>
    </w:p>
    <w:p>
      <w:pPr>
        <w:pStyle w:val="ArticleBody"/>
        <w:jc w:val="left"/>
      </w:pPr>
      <w:r>
        <w:rPr>
          <w:rFonts w:ascii="Times New Roman" w:hAnsi="Times New Roman" w:eastAsia="Times New Roman" w:cs="Times New Roman"/>
        </w:rPr>
        <w:t>Миллер «қурбонии доимиро» ҳамчун Рими бутпараст, яъне аждаҳо, муайян кард, аммо адвентизми Лоодикия аз протестантизми суқуткарда ин андешаро қабул намуд, ки он хизмати Масеҳро дар муқаддасгоҳи осмонӣ ифода мекунад. Рад кардани муайянкунии Миллер, ки «қурбонии доимӣ» Рими бутпараст аст, ба маънои рад кардани ҳақиқате мебошад, ки дар ҳар ду харитаи муқаддас, ки иҷрошавии боби дуюми Ҳабаққуқ буданд, муаррифӣ шудааст. Пас, ин рад кардани як ҳақиқати бунёдӣ мебошад, ҳамон гуна ки рад кардани ҳафт замони Ибодат боби бисту шаш буд.</w:t>
      </w:r>
    </w:p>
    <w:p>
      <w:pPr>
        <w:pStyle w:val="ArticleBody"/>
        <w:jc w:val="left"/>
      </w:pPr>
      <w:r>
        <w:rPr>
          <w:rFonts w:ascii="Times New Roman" w:hAnsi="Times New Roman" w:eastAsia="Times New Roman" w:cs="Times New Roman"/>
        </w:rPr>
        <w:t>Рад кардани ҳақиқат, ки «қурбонии ҳаррӯза» намояндаи Руми бутпараст аст, баробар аст ба рад кардани асосҳои Адвентизм ва салоҳияти Рӯҳи Нубувват. Муайян кардани рамзе, ки ба Шайтон тааллуқ дорад, ҳамчун рамзи Масеҳ, ҳамсон аст ба муайян кардани кори Масеҳ ҳамчун кори Шайтон.</w:t>
      </w:r>
    </w:p>
    <w:p>
      <w:pPr>
        <w:pStyle w:val="ArticleScripture"/>
        <w:jc w:val="left"/>
      </w:pPr>
      <w:r>
        <w:rPr>
          <w:rFonts w:ascii="Times New Roman" w:hAnsi="Times New Roman" w:eastAsia="Times New Roman" w:cs="Times New Roman"/>
        </w:rPr>
        <w:t>«Дар рад кардани Масеҳ, халқи яҳудӣ гуноҳи нобахшиданиро содир кард; ва бо рад намудани даъвати раҳмат, мо низ метавонем ба ҳамон хато роҳ диҳем. Вақте ки мо аз шунидани паёмрасонони ваколатдори Ӯ сарпечӣ мекунем ва ба ҷои он ба намояндагони шайтон гӯш медиҳем, ки мехоҳанд ҷонро аз Масеҳ дур созанд, мо ба Шоҳзодаи ҳаёт таҳқир мекунем ва Ӯро дар пеши куништгоҳи шайтон ва дар пеши коиноти осмонӣ шармсор мегардонем. То даме ки касе чунин мекунад, ӯ наметавонад ҳеҷ умед ё омурзиш ёбад, ва дар анҷом ҳар гуна хоҳиши оштӣ шудан бо Худоро аз даст хоҳад дод». «Орзуи асрҳо», 324.</w:t>
      </w:r>
    </w:p>
    <w:p>
      <w:pPr>
        <w:pStyle w:val="ArticleBody"/>
        <w:jc w:val="left"/>
      </w:pPr>
      <w:r>
        <w:rPr>
          <w:rFonts w:ascii="Times New Roman" w:hAnsi="Times New Roman" w:eastAsia="Times New Roman" w:cs="Times New Roman"/>
        </w:rPr>
        <w:t>Ҳангоме ки адвентизми Лоудикия фаҳмиши бунёдии «қурбонии доимӣ» ва ҳафт замонро рад кард, онҳо на танҳо ҳокимияти Рӯҳи Нубувват ва пояҳоро рад карданд, балки кори Вилям Миллерро низ рад намуданд, ки ба фаҳмишҳои худ тавассути фаришта Ҷабраил ва фариштагони дигар роҳнамоӣ шуда буд.</w:t>
      </w:r>
    </w:p>
    <w:p>
      <w:pPr>
        <w:pStyle w:val="ArticleScripture"/>
        <w:jc w:val="left"/>
      </w:pPr>
      <w:r>
        <w:rPr>
          <w:rFonts w:ascii="Times New Roman" w:hAnsi="Times New Roman" w:eastAsia="Times New Roman" w:cs="Times New Roman"/>
        </w:rPr>
        <w:t>«Худо фариштаи Худро фиристод, то бар дили деҳқоне, ки ба Китоби Муқаддас имон надошт, таъсир расонад ва ӯро ба ҷустуҷӯи пешгӯиҳо роҳнамоӣ кунад. Фариштагони Худо борҳо назди он баргузида омаданд, то зеҳни ӯро ҳидоят намоянд ва пешгӯиҳоеро, ки ҳамеша барои қавми Худо торик буданд, барои фаҳми ӯ боз кунанд. Оғози занҷири ҳақиқат ба ӯ дода шуд, ва ӯ роҳнамоӣ ёфт, то пайванд пас аз пайвандро ҷустуҷӯ кунад, то он даме ки бо ҳайрат ва таҳсин ба Каломи Худо назар афканд. Ӯ дар он ҷо занҷири комили ҳақиқатро дид. Он Каломе, ки ӯ онро беилҳом мешуморид, акнун бо тамоми зебоӣ ва ҷалоли худ пеши назари ӯ кушода шуд. Ӯ дид, ки як қисми Навиштаҳо қисми дигарро шарҳ медиҳад, ва ҳангоме ки як оят барои фаҳми ӯ баста буд, дар қисми дигари Калом он чиро меёфт, ки онро тавзеҳ медод. Ӯ ба Каломи муқаддаси Худо бо шодӣ ва бо амиқтарин эҳтиром ва тарс менигарист». «Навиштаҳои Аввал», 230.</w:t>
      </w:r>
    </w:p>
    <w:p>
      <w:pPr>
        <w:pStyle w:val="ArticleBody"/>
        <w:jc w:val="left"/>
      </w:pPr>
      <w:r>
        <w:rPr>
          <w:rFonts w:ascii="Times New Roman" w:hAnsi="Times New Roman" w:eastAsia="Times New Roman" w:cs="Times New Roman"/>
        </w:rPr>
        <w:t>«Фариштаи Ӯ» ибораест, ки фариштаи Ҷабраилро муайян мекунад.</w:t>
      </w:r>
    </w:p>
    <w:p>
      <w:pPr>
        <w:pStyle w:val="ArticleScripture"/>
        <w:jc w:val="left"/>
      </w:pPr>
      <w:r>
        <w:rPr>
          <w:rFonts w:ascii="Times New Roman" w:hAnsi="Times New Roman" w:eastAsia="Times New Roman" w:cs="Times New Roman"/>
        </w:rPr>
        <w:t>«Суханони фаришта: “Ман Ҷабраил ҳастам, ки дар ҳузури Худо меистам”, нишон медиҳанд, ки ӯ дар дарборҳои осмонӣ мақоми бисёр шарафманд дорад. Вақте ки ӯ бо паёме назди Дониёл омад, гуфт: “Ва касе нест, ки дар ин корҳо бо ман устувор бошад, ҷуз Микоил [Масеҳ], Сарвари шумо”. Дониёл 10:21. Дар бораи Ҷабраил Наҷотдиҳанда дар Ваҳй сухан гуфта, мегӯяд, ки “Ӯ онро ба васитаи фариштаи Худ ба бандаи Худ Юҳанно фиристода, маълум гардонид”. Ваҳй 1:1.» «Орзуи асрҳо», 99.</w:t>
      </w:r>
    </w:p>
    <w:p>
      <w:pPr>
        <w:pStyle w:val="ArticleBody"/>
        <w:jc w:val="left"/>
      </w:pPr>
      <w:r>
        <w:rPr>
          <w:rFonts w:ascii="Times New Roman" w:hAnsi="Times New Roman" w:eastAsia="Times New Roman" w:cs="Times New Roman"/>
        </w:rPr>
        <w:t>Ҳамсон донистани рамзи шайтонӣ бо рамзи Масеҳ на танҳо мувозӣ ба гуноҳи нобахшиданӣ аст, балки худи гуноҳи нобахшиданӣ низ бо рад намудани фиристодагоне, ки Масеҳ мефиристад, вобаста аст. Пас, «ҳамешагӣ» ба рамзи гуноҳи нобахшиданӣ мубаддал мегардад, ва ҳангоме ки фаҳмида мешавад, ки «баргузида», Уилям Миллер, ба фаҳмиши дурусти он ҳақиқат ҳидоят карда шуда буд, ва он баъдан рад карда шуд, ин бевосита ба Мактуби Дуюм ба Таслӯникиён мувофиқ меояд, ки маҳз ҳамон порчаи Навиштаҷот аст, ки Миллер кашфи худро дар он ҷо анҷом дод. Рад кардани он ҳақиқат далели дӯст надоштани ҳақиқат аст, ва он исён боиси дур шудани Рӯҳи Муқаддас ва таслим шудан ба рӯҳи нопоки Шайтон мегардад, ки Павлус онро гумроҳии қавӣ меномад.</w:t>
      </w:r>
    </w:p>
    <w:p>
      <w:pPr>
        <w:pStyle w:val="ArticleBody"/>
        <w:jc w:val="left"/>
      </w:pPr>
      <w:r>
        <w:rPr>
          <w:rFonts w:ascii="Times New Roman" w:hAnsi="Times New Roman" w:eastAsia="Times New Roman" w:cs="Times New Roman"/>
        </w:rPr>
        <w:t>Ҳамон тавре ки «ғоратгарони қавми ту», ки «руъёро барпо мекунанд», «қурбонии доимӣ» рамзи Руми бутпараст мебошад. Дар заминаи Мактуби дуюм ба Таслӯникиён, Павлус таълим медиҳад, ки рад кардани паёми боби дуюм далелест бар он ки онҳое, ки чунин мекунанд, ҳақиқатро дӯст намедоранд. Азбаски онҳо ҳақиқатеро, ки дар он боб ифода ёфтааст, дӯст намедоранд, ба гумроҳии сахт дучор мегарданд.</w:t>
      </w:r>
    </w:p>
    <w:p>
      <w:pPr>
        <w:pStyle w:val="ArticleBody"/>
        <w:jc w:val="left"/>
      </w:pPr>
      <w:r>
        <w:rPr>
          <w:rFonts w:ascii="Times New Roman" w:hAnsi="Times New Roman" w:eastAsia="Times New Roman" w:cs="Times New Roman"/>
        </w:rPr>
        <w:t>Ҳамаи анбиё дар бораи рӯзҳои охир сухан мегӯянд, ва порчаҳои илҳомбахши пешина дар ин мақола нишон медиҳанд, ки дар вақти рехта шудани Рӯҳулқудс гумроҳии қавӣ бар онҳое меояд, ки ҳақиқатро дӯст намедоранд. Як гурӯҳ равғанро қабул мекунад, ва гурӯҳи дигар гумроҳии қавиро қабул мекунад.</w:t>
      </w:r>
    </w:p>
    <w:p>
      <w:pPr>
        <w:pStyle w:val="ArticleBody"/>
        <w:jc w:val="left"/>
      </w:pPr>
      <w:r>
        <w:rPr>
          <w:rFonts w:ascii="Times New Roman" w:hAnsi="Times New Roman" w:eastAsia="Times New Roman" w:cs="Times New Roman"/>
        </w:rPr>
        <w:t>Рӯҳи Муқаддас дар ҷараёни таърих рехта мешавад, дар ҳоле ки Рӯҳи Муқаддас аз касоне бардошта мешавад, ки афзоиши донишеро, ки дар давоми ду давраи озмоиши замони мӯҳргузорӣ аз 11 сентябри соли 2001 то қонуни якшанбеи ба зудӣ оянда кушода мегардад, рад мекунанд. Барои такрор кардани як порчаи қаблӣ:</w:t>
      </w:r>
    </w:p>
    <w:p>
      <w:pPr>
        <w:pStyle w:val="ArticleScripture"/>
        <w:jc w:val="left"/>
      </w:pPr>
      <w:r>
        <w:rPr>
          <w:rFonts w:ascii="Times New Roman" w:hAnsi="Times New Roman" w:eastAsia="Times New Roman" w:cs="Times New Roman"/>
        </w:rPr>
        <w:t>«Ба рӯзҳои охир назар афканда, ҳамон қудрати бепоён дар бораи онҳое, ки “муҳаббати ростиро напазируфтанд, то ки наҷот ёбанд”, чунин эълон мекунад: “Ва барои ҳамин Худо ба онҳо гумроҳии сахт хоҳад фиристод, то ки ба дурӯғ имон оваранд; то ҳамаи онҳое ки ба ростӣ имон наоварданд, балки аз ноинсофӣ лаззат бурданд, маҳкум гарданд.” Чун онҳо таълимоти Каломи Ӯро рад мекунанд, Худо Рӯҳи Худро бозмедорад ва онҳоро ба фиребҳое вомегузорад, ки дӯст медоранд». Навиштаҳои аввал, 46.</w:t>
      </w:r>
    </w:p>
    <w:p>
      <w:pPr>
        <w:pStyle w:val="ArticleBody"/>
        <w:jc w:val="left"/>
      </w:pPr>
      <w:r>
        <w:rPr>
          <w:rFonts w:ascii="Times New Roman" w:hAnsi="Times New Roman" w:eastAsia="Times New Roman" w:cs="Times New Roman"/>
        </w:rPr>
        <w:t>Сатр бар сатр, Дониёл таълим медиҳад, ки дар рӯзҳои охир маҳз ғоратгарони қавми ту, (рамзе аз Рум) рӯъёро барпо месозанд. Ғоратгарон ҳамчунин ҳамчун «ҳамешагӣ» тасвир шудаанд. Сулаймон таълим медиҳад, ки дар рӯзҳои охир онҳое ки рӯъё надоранд, ҳалок мегарданд, яъне бараҳна мешаванд. Бараҳна гардонида шудан — Лӯдиқиягӣ будан аст, ва Лӯдиқиягӣ — бокираи аблаҳ аст.</w:t>
      </w:r>
    </w:p>
    <w:p>
      <w:pPr>
        <w:pStyle w:val="ArticleScripture"/>
        <w:jc w:val="left"/>
      </w:pPr>
      <w:r>
        <w:rPr>
          <w:rFonts w:ascii="Times New Roman" w:hAnsi="Times New Roman" w:eastAsia="Times New Roman" w:cs="Times New Roman"/>
        </w:rPr>
        <w:t>«Ҳолати Калисо, ки бо духтарони нодон тасвир шудааст, инчунин ҳамчун ҳолати Лоудикия низ ёд мешавад». Review and Herald, August 19, 1890.</w:t>
      </w:r>
    </w:p>
    <w:p>
      <w:pPr>
        <w:pStyle w:val="ArticleBody"/>
        <w:jc w:val="left"/>
      </w:pPr>
      <w:r>
        <w:rPr>
          <w:rFonts w:ascii="Times New Roman" w:hAnsi="Times New Roman" w:eastAsia="Times New Roman" w:cs="Times New Roman"/>
        </w:rPr>
        <w:t>Вақте ки паёми Нидои Нимашаб фаро мерасад, бокираи аблаҳ будан маънои зоҳир сохтани он чизеро дорад, ки Юҳанно дар боби шонздаҳуми Ваҳй чунин сабт мекунад: «шарми урёнии ту». Огоҳии Юҳанно дар балои шашум ба он иттиҳоди сегонаи аждаҳо, ҳайвон ва набии козиб марбут аст, ки аз соли 1989 инҷониб дар ҷараёни бурдани ҷаҳон ба Армагеддон мебошанд.</w:t>
      </w:r>
    </w:p>
    <w:p>
      <w:pPr>
        <w:pStyle w:val="ArticleBody"/>
        <w:jc w:val="left"/>
      </w:pPr>
      <w:r>
        <w:rPr>
          <w:rFonts w:ascii="Times New Roman" w:hAnsi="Times New Roman" w:eastAsia="Times New Roman" w:cs="Times New Roman"/>
        </w:rPr>
        <w:t>Паёми Павлус дар дуввумин нома ба Таслӯникиён танҳо дар бораи он нест, ки Руми бутпараст аз ҷониби Дониёл ҳамчун «қурбонии ҳамешагӣ» муаррифӣ шудааст, балки ин боб равобити Руми бутпарастро бо Руми папавӣ таъкид мекунад. Руми бутпараст марди гуноҳро аз ба тахти замин нишастан дар соли 538 бозмедошт («манъ мекард»). Ҳангоме ки Руми бутпараст аз миён бардошта шуд, он гоҳ «сирри шарорат», «он бадкор», ки ҳамон папаи Рум аст, ошкор мегардад. Дар ин боб Павлус як робитаи муайяни нубувватиро миёни Руми бутпараст ва Руми папавӣ муайян месозад. Рад кардани таълими ин боб, рад кардани ҳақиқат ва пазируфтани гумроҳии сахт аст.</w:t>
      </w:r>
    </w:p>
    <w:p>
      <w:pPr>
        <w:pStyle w:val="ArticleScripture"/>
        <w:jc w:val="left"/>
      </w:pPr>
      <w:r>
        <w:rPr>
          <w:rFonts w:ascii="Times New Roman" w:hAnsi="Times New Roman" w:eastAsia="Times New Roman" w:cs="Times New Roman"/>
        </w:rPr>
        <w:t>Ҳеҷ кас шуморо ба ҳеҷ васила фирефта насозад; зеро он рӯз нахоҳад омад, магар он ки аввал осият биёяд, ва он марди гуноҳ ошкор гардад, писари ҳалокат; ки муқобилат мекунад ва худро болотар аз ҳар он чи Худо хонда мешавад ё парастиш мегардад, боло мебардорад; ба тавре ки ӯ чун Худо дар маъбади Худо менишинад ва худро нишон медиҳад, ки гӯё ӯ Худо бошад. Оё дар хотир надоред, ки вақте ҳанӯз бо шумо будам, ин чизҳоро ба шумо мегуфтам? Ва акнун шумо медонед, ки чӣ чиз ӯро бозмедорад, то ки дар замони худ ошкор гардад. Зеро сирри бадӣ аллакай амал мекунад; фақат он касе ки ҳоло бозмедорад, бозмедорад, то он даме ки аз миён бардошта шавад. Ва он гоҳ он шарир ошкор хоҳад шуд, ки Худованд ӯро бо рӯҳи даҳони Худ нобуд хоҳад кард ва бо ҷилои зуҳури Худ вайро ҳалок хоҳад сохт; яъне он кас, ки омаданаш мувофиқи амали шайтон аст, бо ҳар гуна қудрат ва аломатҳо ва мӯъҷизаҳои дурӯғин, ва бо ҳар гуна фиреби ноинсофӣ дар миёни онҳое ки ҳалок мешаванд; зеро муҳаббати ростиро қабул накарданд, то наҷот ёбанд. Ва барои ҳамин Худо ба онҳо гумроҳии сахт хоҳад фиристод, то ба дурӯғ имон оваранд; то ҳамаи онҳое ки ба ростӣ имон наоварданд, балки аз ноинсофӣ лаззат бурданд, маҳкум гарданд. 2 Таслӯникиён 2:3–12.</w:t>
      </w:r>
    </w:p>
    <w:p>
      <w:pPr>
        <w:pStyle w:val="ArticleBody"/>
        <w:jc w:val="left"/>
      </w:pPr>
      <w:r>
        <w:rPr>
          <w:rFonts w:ascii="Times New Roman" w:hAnsi="Times New Roman" w:eastAsia="Times New Roman" w:cs="Times New Roman"/>
        </w:rPr>
        <w:t>Чаро ин қавми рӯзҳои охир «маҳкум» мегарданд? Чаро ба онҳо «гумроҳии сахт» фиристода мешавад? Чаро онҳо «ҳалок» мешаванд ва ба ин васила шарми урёнии худро ошкор месозанд? Матн баён мекунад, ки ин аз он сабаб аст, ки онҳо ҳақиқатро дӯст намедоранд; ва ҳақиқате, ки дар ин боб баён шудааст, муайян месозад, ки Руми бутпараст, подшоҳии чоруми нубуввати Китоби Муқаддас, то замоне ки бутпарастӣ бардошта нашавад, намегузошт, ки Руми папагӣ, подшоҳии панҷуми нубуввати Китоби Муқаддас, ба тахт барояд.</w:t>
      </w:r>
    </w:p>
    <w:p>
      <w:pPr>
        <w:pStyle w:val="ArticleBody"/>
        <w:jc w:val="left"/>
      </w:pPr>
      <w:r>
        <w:rPr>
          <w:rFonts w:ascii="Times New Roman" w:hAnsi="Times New Roman" w:eastAsia="Times New Roman" w:cs="Times New Roman"/>
        </w:rPr>
        <w:t>Муносибати миёни Рими бутпараст ва Рими папавӣ, ки дар ин боб муайян шудааст, инчунин аз ҷониби Юҳанно дар робита миёни калисои Пергамус ва калисои Тиатира низ муайян гардидааст. Пергамус бо Рими бутпараст мувофиқат мекунад, ва Тиатира Рими папавӣ аст. Павлус ва Юҳанно ду шоҳидро дар бораи муносибати ин ду қудрат пешкаш мекунанд, чунон ки китоби Дониёл низ чунин мекунад.</w:t>
      </w:r>
    </w:p>
    <w:p>
      <w:pPr>
        <w:pStyle w:val="ArticleBody"/>
        <w:jc w:val="left"/>
      </w:pPr>
      <w:r>
        <w:rPr>
          <w:rFonts w:ascii="Times New Roman" w:hAnsi="Times New Roman" w:eastAsia="Times New Roman" w:cs="Times New Roman"/>
        </w:rPr>
        <w:t>Дар китоби Дониёл муносибати Руми бутпараст бо Руми папавӣ такроран баён шудааст. Дар боби дуюми Дониёл, он бо омезиши оҳан бо гили лойин тасвир мегардад. Дар боби ҳафтуми Дониёл ҳам Руми бутпараст ва ҳам Руми папавӣ подшоҳиҳои «мутафовит» мебошанд, ва гарчанде ки Дониёл 2 ин ду қудратро ҳамчун омехта нишон медиҳад, боби 7 муайян месозад, ки қудрати папавӣ аз подшоҳии даҳшохаи Руми бутпараст берун меояд. Дар Дониёл 8 шохаи хурди оятҳои 9 то 12 Рум аст дар ҳар ду марҳилаи он. Оятҳои 9 ва 11 шохаи хурдро дар сиғаи музаккар меоранд, ва ҳамин тавр Руми бутпарастро муайян месозанд, ва оятҳои 10 ва 12 шохаи хурдро дар сиғаи муаннас меоранд, ва ҳамин тавр Руми папавиро муайян месозанд.</w:t>
      </w:r>
    </w:p>
    <w:p>
      <w:pPr>
        <w:pStyle w:val="ArticleBody"/>
        <w:jc w:val="left"/>
      </w:pPr>
      <w:r>
        <w:rPr>
          <w:rFonts w:ascii="Times New Roman" w:hAnsi="Times New Roman" w:eastAsia="Times New Roman" w:cs="Times New Roman"/>
        </w:rPr>
        <w:t>Дар боби ҳаштуми китоби Дониёл, ояти сездаҳум, Руми бутпараст ва Руми папавӣ ҳамчун ду қудрати вайронкунанда тасвир шудаанд. Руми бутпараст қудрати вайронкунандаи «ҳамешагӣ» аст, ва Руми папавӣ қудрати вайронкунандаи таҷовуз аст. Дар боби ёздаҳум, ояти сию якум, қудрати вайронкунандаи «ҳамешагӣ»-и Руми бутпараст қудрати вайронкунандаи макруҳро, ки ҳамон қудрати папавӣ аст, барпо мекунад. Дар боби дувоздаҳум, ояти ёздаҳум, қудрати вайронкунандаи «ҳамешагӣ»-и Руми бутпараст бардошта мешавад, то қудрати вайронкунандаи макруҳи папавият барпо гардад.</w:t>
      </w:r>
    </w:p>
    <w:p>
      <w:pPr>
        <w:pStyle w:val="ArticleBody"/>
        <w:jc w:val="left"/>
      </w:pPr>
      <w:r>
        <w:rPr>
          <w:rFonts w:ascii="Times New Roman" w:hAnsi="Times New Roman" w:eastAsia="Times New Roman" w:cs="Times New Roman"/>
        </w:rPr>
        <w:t>Муносибати ду қудрати вайронкунандаи Рум яке аз мавзӯъҳои асосии китобҳои Дониёл ва Ваҳй мебошад, ва ҳамин муносибат аст, ки Павлус онро ҳамчун ҳақиқате муайян мекунад, ки агар шахс бихоҳад аз фиреби сахте, ки аз имон овардан ба дурӯғ ба вуҷуд меояд, канораҷӯӣ намояд, бояд онро дӯст дорад. Худо ҳеҷ гоҳ такрори беҳуда намекунад, ва ҳар як тасвири муносибати Руми бутпараст бо Руми папавӣ дар бораи ин мавзӯъ шаҳодати махсуси худро медиҳад; аммо рад кардани рамзи Рум дар рӯзҳои охир, рад кардани борони охир ва ба ҷои он пазируфтани фиреби сахт аст. Ин маънои онро дорад, ки шахс то абад ҳамчун Лаодикияи бараҳна шинохта хоҳад шуд.</w:t>
      </w:r>
    </w:p>
    <w:p>
      <w:pPr>
        <w:pStyle w:val="ArticleBody"/>
        <w:jc w:val="left"/>
      </w:pPr>
      <w:r>
        <w:rPr>
          <w:rFonts w:ascii="Times New Roman" w:hAnsi="Times New Roman" w:eastAsia="Times New Roman" w:cs="Times New Roman"/>
        </w:rPr>
        <w:t>Таърихнигорони адвентистии Лаодикия, ҳарчанд нисбат ба нақш ва кори Уилям Миллер ҳеҷ эҳтироми муқаддас зоҳир намесозанд, nonetheless эътироф мекунанд, ки маҳз дарки ӯ аз муносибати Руми бутпараст ва Руми папавӣ он сохтори нубувватӣ буд, ки ӯ «тамоми» татбиқҳои нубувватии худро бар он бино кард. Ҷабраил ва фариштагони дигар Миллерро роҳнамоӣ карданд, то муносибати Руми бутпараст ва Руми папавиро дарк намояд, аммо дар фаҳмиши таърихии худ ӯ Румро ҳамчун як воҳиди сегона, ки аз аждаҳо, ҳайвон ва набии козиб иборат бошад, надид.</w:t>
      </w:r>
    </w:p>
    <w:p>
      <w:pPr>
        <w:pStyle w:val="ArticleBody"/>
        <w:jc w:val="left"/>
      </w:pPr>
      <w:r>
        <w:rPr>
          <w:rFonts w:ascii="Times New Roman" w:hAnsi="Times New Roman" w:eastAsia="Times New Roman" w:cs="Times New Roman"/>
        </w:rPr>
        <w:t>Дар замони ӯ Иёлоти Муттаҳида ҳанӯз нақши худро ҳамчун пайғамбари козиб оғоз накарда буд, зеро протестантҳои Иёлоти Муттаҳида то соли 1844 духтарони Рум нагардиданд, ва кори бунёдии Миллер аллакай бар рӯйи ҷадвали соли 1843, ки дар моҳи майи соли 1842 таҳия шуда буд, ҷой дода шуда буд.</w:t>
      </w:r>
    </w:p>
    <w:p>
      <w:pPr>
        <w:pStyle w:val="ArticleBody"/>
        <w:jc w:val="left"/>
      </w:pPr>
      <w:r>
        <w:rPr>
          <w:rFonts w:ascii="Times New Roman" w:hAnsi="Times New Roman" w:eastAsia="Times New Roman" w:cs="Times New Roman"/>
        </w:rPr>
        <w:t>Соли 1989 шаш ояти охирини боби ёздаҳуми Дониёл кушода шуданд, ва паёмовари он давраи замон дарк намуд, ки се қудрат вуҷуд доранд, ки фаъолияти пешгӯёнаи онҳо дар оятҳои чиҳил то чиҳилу панҷуми боби ёздаҳум идома меёбад. Подшоҳи ҷануб дар ояти чиҳил қудрати аждаҳост; подшоҳи шимол қудрати папист, ки дар аввали ҳамон оят, дар соли 1798, ба дасти қудрати аждаҳомонанди Фаронсаи Наполеон захми марговари худ гирифта буд. Дар он оят қудрати папист кори шифо ёфтани захми марговари худро оғоз мекунад. Соли 1989 подшоҳи шимол бар зидди қудрати аждаҳомонанди Иттиҳоди Шӯравӣ, ки то он вақт подшоҳи ҷануб гардида буд, ҷавобан ҳамла мекунад. Вақте ки ҳайвони католикият бар зидди Иттиҳоди Шӯравӣ ҷавобан бархост, он бо лашкари васитаи Иёлоти Муттаҳида омад, ки ҳамон пайғамбари козиби Ваҳй боби шонздаҳ аст. Подшоҳи аждаҳомонанди ҷануб, подшоҳи ҳайвонии шимол ва пайғамбари козиби аробаҳо, саворагон ва киштиҳо ҳама дар ояти чиҳил тасвир шудаанд, ва хати пешгӯӣ дар ояти чиҳилу панҷ ба анҷом мерасад, ҳангоме ки қудрати папист «ба поёни худ мерасад, ва ҳеҷ ёваре барои ӯ нахоҳад буд».</w:t>
      </w:r>
    </w:p>
    <w:p>
      <w:pPr>
        <w:pStyle w:val="ArticleBody"/>
        <w:jc w:val="left"/>
      </w:pPr>
      <w:r>
        <w:rPr>
          <w:rFonts w:ascii="Times New Roman" w:hAnsi="Times New Roman" w:eastAsia="Times New Roman" w:cs="Times New Roman"/>
        </w:rPr>
        <w:t>Армагеддон дар Ваҳй боби шонздаҳум минтақаи рамзии ҷуғрофӣ мебошад, ки исёни башариятро, ки пеш аз бозгашти Масеҳ воқеъ мегардад, муайян мекунад. Армагеддон рамз аст; ин вожа аз ду калима сохта шудааст: «Ҳар», ба маънои кӯҳ, ва «Маҷиддо», ки ҳамон водии Изреъил аст. Ҳамин воқеият, ки Юҳанно кӯҳро бо Маҷиддо якҷо овардааст, дар ҳоле ки Маҷиддо водӣ аст, ба донишҷӯи нубувват мефаҳмонад, ки Армагеддон рамзест, ки ишораи ҷуғрофӣ дар бар дорад, зеро дар водии Изреъил ҳеҷ кӯҳе вуҷуд надорад.</w:t>
      </w:r>
    </w:p>
    <w:p>
      <w:pPr>
        <w:pStyle w:val="ArticleBody"/>
        <w:jc w:val="left"/>
      </w:pPr>
      <w:r>
        <w:rPr>
          <w:rFonts w:ascii="Times New Roman" w:hAnsi="Times New Roman" w:eastAsia="Times New Roman" w:cs="Times New Roman"/>
        </w:rPr>
        <w:t>Водии Изреъил дар миёни се баҳр (Баҳри Миёназамин, Баҳри Ҷалил ва Баҳри Мурда) ва Ерусалим ҷойгир аст. Он дар шимоли Исроил нисбатан марказӣ воқеъ буда, ин се ҳавзаи обӣ ва Ерусалим дар самтҳои гуногун гирди он қарор доранд. Ояти чилу панҷуми Дониёл ёздаҳ ҳамон ҷоест, ки подшоҳи шимол ба анҷоми худ мерасад, ва ин оят анҷоми ҷуғрофиёии ӯро дар миёни баҳрҳо ва кӯҳи муқаддаси ҷалолманди Ерусалим муайян мекунад. Ояти чилуми Дониёл ёздаҳ се қудратеро муаррифӣ менамояд, ки мавзӯи шифо ёфтани захми марговари қудрати папавӣ ва анҷоми ниҳоии он мебошанд.</w:t>
      </w:r>
    </w:p>
    <w:p>
      <w:pPr>
        <w:pStyle w:val="ArticleBody"/>
        <w:jc w:val="left"/>
      </w:pPr>
      <w:r>
        <w:rPr>
          <w:rFonts w:ascii="Times New Roman" w:hAnsi="Times New Roman" w:eastAsia="Times New Roman" w:cs="Times New Roman"/>
        </w:rPr>
        <w:t>Ибораи аввали оятҳо замони интиҳоро дар соли 1798 муайян мекунад, вақте ки папагӣ захми марговари худро гирифт, ва ояти чиҳилу панҷум захми марговари доимии онро муайян менамояд. Таърихи нубувватӣ миёни марги аввалин ва охирини қудрати папагӣ шӯриши инсониятро муайян мекунад, ҳангоме ки онҳо бартарии қудрати папагиро барқарор месозанд, замоне ки захми марговари он пеш аз заволи ниҳоии қудрати папагӣ шифо меёбад. Ин шаш оят муҳри ҳақиқатро бар худ доранд, зеро ҳам оғоз ва ҳам анҷом марги қудрати папагӣ мебошанд, ва оятҳои миёна шӯриши инсониятанд, ҳангоме ки захми марговари аввал шифо меёбад.</w:t>
      </w:r>
    </w:p>
    <w:p>
      <w:pPr>
        <w:pStyle w:val="ArticleBody"/>
        <w:jc w:val="left"/>
      </w:pPr>
      <w:r>
        <w:rPr>
          <w:rFonts w:ascii="Times New Roman" w:hAnsi="Times New Roman" w:eastAsia="Times New Roman" w:cs="Times New Roman"/>
        </w:rPr>
        <w:t>Ба Миллер аз ҷониби фариштагони осмонӣ дар бораи муносибати Руми бутпараст ва Руми папагӣ нур дода шуд. Калиди фаҳмиши Миллер аз намунаи нубувватӣ, ки ӯ онро дар ҳамаи татбиқҳои нубувватии худ ба кор мебурд, «ҳамешагӣ» дар Дуюм Таслӯникиён буд. «Ҳамешагӣ» дар он боб Руми бутпараст аст, ва маҳз ҳамин чиз рӯъёеро, ки Вилям Миллер ба дарки он расид, барқарор намуд, зеро ин Рум аст — ғоратгарони қавми ту дар ояти чордаҳуми боби ёздаҳум, — ки рӯъёро барқарор мекунад.</w:t>
      </w:r>
    </w:p>
    <w:p>
      <w:pPr>
        <w:pStyle w:val="ArticleBody"/>
        <w:jc w:val="left"/>
      </w:pPr>
      <w:r>
        <w:rPr>
          <w:rFonts w:ascii="Times New Roman" w:hAnsi="Times New Roman" w:eastAsia="Times New Roman" w:cs="Times New Roman"/>
        </w:rPr>
        <w:t>Фиристодае, ки барангехта шуд, то афзоиши донишро дар соли 1989 дарк намояд, ба дарки табиати сегонаи Рум расид. Миллер фиристодаи фариштагони якум ва дуюм буд, ва ӯ зуҳуроти якум ва дуюми Румро дарк кард, то рӯъёеро, ки ба ҷаҳон пешниҳод намуд, барқарор созад. Фиристодаи фариштаи сеюм ба дарки ҳар се зуҳуроти Рум расид, то рӯъёеро, ки ба ӯ дода шуда буд, то ба ҷаҳон эълон намояд, барқарор созад.</w:t>
      </w:r>
    </w:p>
    <w:p>
      <w:pPr>
        <w:pStyle w:val="ArticleBody"/>
        <w:jc w:val="left"/>
      </w:pPr>
      <w:r>
        <w:rPr>
          <w:rFonts w:ascii="Times New Roman" w:hAnsi="Times New Roman" w:eastAsia="Times New Roman" w:cs="Times New Roman"/>
        </w:rPr>
        <w:t>Аввалин зуҳури Рум — Руми бутпараст буд. Аз Руми бутпараст Руми папагӣ, яъне зуҳури дуюм, ба вуҷуд омад. Аз ду зуҳури аввал Руми муосир ба вуҷуд омад, ки иттиҳоди сегонаи аждаҳо, ҳайвон ва пайғамбари козиб аст.</w:t>
      </w:r>
    </w:p>
    <w:p>
      <w:pPr>
        <w:pStyle w:val="ArticleBody"/>
        <w:jc w:val="left"/>
      </w:pPr>
      <w:r>
        <w:rPr>
          <w:rFonts w:ascii="Times New Roman" w:hAnsi="Times New Roman" w:eastAsia="Times New Roman" w:cs="Times New Roman"/>
        </w:rPr>
        <w:t>Мо дар мақолаи навбатӣ пайгирии баҳси «қурбонии доимӣ»-ро дар таърихи Адвентизм идома хоҳем дод.</w:t>
      </w:r>
    </w:p>
    <w:p>
      <w:pPr>
        <w:pStyle w:val="ArticleScripture"/>
        <w:jc w:val="left"/>
      </w:pPr>
      <w:r>
        <w:rPr>
          <w:rFonts w:ascii="Times New Roman" w:hAnsi="Times New Roman" w:eastAsia="Times New Roman" w:cs="Times New Roman"/>
        </w:rPr>
        <w:t>«Он ки аз зоҳир ба зери сатҳ менигарад ва дилҳои ҳамаи одамонро мехонад, дар бораи онҳое ки нури бузург ёфтаанд, мегӯяд: “Онҳо ба сабаби ҳолати ахлоқӣ ва рӯҳонии худ дар азоб ва ҳайрат нестанд.” Бале, онҳо роҳҳои худро баргузидаанд, ва ҷонашон аз корҳои зишти худ лаззат мебарад. “Ман низ гумроҳиҳои онҳоро ихтиёр хоҳам кард, ва он чиро ки аз он метарсанд, бар онҳо хоҳам овард; зеро ҳангоме ки хондам, ҳеҷ кас ҷавоб надод; ҳангоме ки сухан гуфтам, онҳо нашуниданд; балки дар пеши чашмони Ман бадӣ карданд, ва он чиро баргузиданд, ки Ман аз он хушнуд набудам.” “Худо ба онҳо гумроҳии сахт хоҳад фиристод, то ки ба дурӯғ имон оваранд,” зеро “муҳаббати ростиро барои наҷот ёфтан напазируфтанд,” “балки аз беадолатӣ лаззат бурданд.” Ишаъё 66:3, 4; 2 Таслӯникиён 2:11, 10, 12.»</w:t>
      </w:r>
    </w:p>
    <w:p>
      <w:pPr>
        <w:pStyle w:val="ArticleScripture"/>
        <w:jc w:val="left"/>
      </w:pPr>
      <w:r>
        <w:rPr>
          <w:rFonts w:ascii="Times New Roman" w:hAnsi="Times New Roman" w:eastAsia="Times New Roman" w:cs="Times New Roman"/>
        </w:rPr>
        <w:t>«Омӯзгори осмонӣ пурсид: “Кадом фиреб метавонад аз ин пурзӯртар ақлро гумроҳ созад, аз вонамуд кардани он ки шумо бар таҳкурсии дуруст бино мекунед ва Худо аъмоли шуморо мепазирад, дар ҳоле ки дар асл шумо бисёр чизҳоро мувофиқи сиёсати дунявӣ ба анҷом мерасонед ва бар зидди Яҳува гуноҳ мекунед? Оҳ, ин фиреби бузург аст, гумроҳии дилфиребе, ки ақлҳоро тасарруф мекунад, ҳангоме ки одамоне, ки замоне ҳақиқатро шинохта буданд, сурати худотарсиро бо рӯҳ ва қудрати он иштибоҳ мегиранд; ҳангоме ки онҳо гумон мекунанд, ки сарватманданд, аз неъматҳо фаровон шудаанд ва ба ҳеҷ чиз эҳтиёҷ надоранд, дар ҳоле ки дар асл ба ҳама чиз муҳтоҷанд.”»</w:t>
      </w:r>
    </w:p>
    <w:p>
      <w:pPr>
        <w:pStyle w:val="ArticleScripture"/>
        <w:jc w:val="left"/>
      </w:pPr>
      <w:r>
        <w:rPr>
          <w:rFonts w:ascii="Times New Roman" w:hAnsi="Times New Roman" w:eastAsia="Times New Roman" w:cs="Times New Roman"/>
        </w:rPr>
        <w:t>«Худо нисбат ба бандагони вафодори Худ, ки либосҳои худро беолоиш нигоҳ медоранд, тағйир наёфтааст. Аммо бисёриҳо нидо мекунанд: “Сулҳ ва амният”, дар ҳоле ки ҳалокати ногаҳонӣ бар онҳо меояд. Магар тавбаи комил вуҷуд надошта бошад, магар одамон дилҳои худро бо иқрор фурӯтан насозанд ва ҳақро чунон ки дар Исо аст, напазиранд, онҳо ҳаргиз ба осмон дохил нахоҳанд шуд. Вақте ки поксозӣ дар сафҳои мо ба амал ояд, мо дигар дар осоиш намеистем ва фахр намекунем, ки сарватдорем ва неъмат бисёр дорем ва ба ҳеҷ чиз эҳтиёҷ надорем.</w:t>
      </w:r>
    </w:p>
    <w:p>
      <w:pPr>
        <w:pStyle w:val="ArticleScripture"/>
        <w:jc w:val="left"/>
      </w:pPr>
      <w:r>
        <w:rPr>
          <w:rFonts w:ascii="Times New Roman" w:hAnsi="Times New Roman" w:eastAsia="Times New Roman" w:cs="Times New Roman"/>
        </w:rPr>
        <w:t>«Кист, ки ростӣ гуфта тавонад: “Тиллои мо дар оташ санҷида шудааст; либосҳои мо аз олам доғдор нашудаанд”? Ман дидам, ки Устоди мо ба либосҳои ба ном адолат ишора мекард. Онҳоро аз тан канда, палидии зери онҳоро ошкор сохт. Сипас ба ман гуфт: “Оё намебинӣ, ки чӣ гуна онҳо палидӣ ва пӯсишии хислати худро бо худнамоӣ пӯшондаанд? ‘Чӣ гуна шаҳри вафодор фоҳиша гардидааст!’ Хонаи Падари Ман ба хонаи савдо табдил ёфтааст, ба ҷойе, ки ҳузур ва ҷалоли илоҳӣ аз он берун рафтааст! Ба ҳамин сабаб сустӣ ҳаст, ва қувват намерасад.”»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рӯъёро барқарор мекунад — Рақами Ҳашт</dc:title>
  <dc:subject>Бунёдҳои регӣ: Радди ҳақиқати нубувватӣ дар адвентизми Лодикия</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