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Огоҳиҳои Мувозӣ — Рақами Чор</w:t>
      </w:r>
    </w:p>
    <w:p>
      <w:pPr>
        <w:pStyle w:val="ArticleSubtitle"/>
        <w:jc w:val="left"/>
      </w:pPr>
      <w:r>
        <w:rPr>
          <w:rFonts w:ascii="Arial" w:hAnsi="Arial" w:eastAsia="Arial" w:cs="Arial"/>
        </w:rPr>
        <w:t>Асосҳои имон ва хатари фаромӯшӣ: дарсҳо аз нубувват ва таърих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Scripture"/>
        <w:jc w:val="left"/>
      </w:pPr>
      <w:r>
        <w:rPr>
          <w:rFonts w:ascii="Times New Roman" w:hAnsi="Times New Roman" w:eastAsia="Times New Roman" w:cs="Times New Roman"/>
        </w:rPr>
        <w:t>Ӯ донишро ба кӣ хоҳад омӯхт? Ва таълимотро ба кӣ хоҳад фаҳмонд? Ба онҳое ки аз шир бозгирифта шудаанд, ва аз пистон ҷудо карда шудаанд.</w:t>
      </w:r>
    </w:p>
    <w:p>
      <w:pPr>
        <w:pStyle w:val="ArticleScripture"/>
        <w:jc w:val="left"/>
      </w:pPr>
      <w:r>
        <w:rPr>
          <w:rFonts w:ascii="Times New Roman" w:hAnsi="Times New Roman" w:eastAsia="Times New Roman" w:cs="Times New Roman"/>
        </w:rPr>
        <w:t>Зеро бояд амр бар амр бошад, амр бар амр; сатр бар сатр, сатр бар сатр; андаке дар ин ҷо, ва андаке дар он ҷо:</w:t>
      </w:r>
    </w:p>
    <w:p>
      <w:pPr>
        <w:pStyle w:val="ArticleScripture"/>
        <w:jc w:val="left"/>
      </w:pPr>
      <w:r>
        <w:rPr>
          <w:rFonts w:ascii="Times New Roman" w:hAnsi="Times New Roman" w:eastAsia="Times New Roman" w:cs="Times New Roman"/>
        </w:rPr>
        <w:t>Зеро бо бо лабони лакнатдор ва бо забони дигар Ӯ ба ин қавм сухан хоҳад гуфт; ба ононе ки гуфта буд: «Ин аст оромие, ки бо он метавонед хастагонро биёромонед; ва ин аст тароват», аммо онҳо нахостанд бишнаванд.</w:t>
      </w:r>
    </w:p>
    <w:p>
      <w:pPr>
        <w:pStyle w:val="ArticleScripture"/>
        <w:jc w:val="left"/>
      </w:pPr>
      <w:r>
        <w:rPr>
          <w:rFonts w:ascii="Times New Roman" w:hAnsi="Times New Roman" w:eastAsia="Times New Roman" w:cs="Times New Roman"/>
        </w:rPr>
        <w:t>Аммо каломи Худованд барои онҳо чунин буд: ҳукм бар ҳукм, ҳукм бар ҳукм; сатр бар сатр, сатр бар сатр; андаке ин ҷо ва андаке он ҷо; то ки бираванд, ва пас афтанд, ва шикаста гарданд, ва ба дом афтанд, ва гирифтор шаванд. Ишаъё 28:9–13.</w:t>
      </w:r>
    </w:p>
    <w:p>
      <w:pPr>
        <w:pStyle w:val="ArticleBody"/>
        <w:jc w:val="left"/>
      </w:pPr>
      <w:r>
        <w:rPr>
          <w:rFonts w:ascii="Times New Roman" w:hAnsi="Times New Roman" w:eastAsia="Times New Roman" w:cs="Times New Roman"/>
        </w:rPr>
        <w:t>Ин оятҳо аз Ишаъё борҳо дар «Ҷадвалҳои Ҳабаққуқ» мавриди баён қарор гирифтаанд. Дар ин ҷо ба ман танҳо лозим аст, ки барои илова кардан ба баҳси ҷорӣ, ба як ё ду нукта аз ин оятҳои пешина ишора намоям. Ин порча қавмеро нишон медиҳад, ки аз санҷиш ноком мешаванд, зеро онҳо «мераванд, ва ба ақиб меафтанд, ва шикаста мешаванд, ва ба дом меафтанд, ва гирифта мешаванд». Онҳо қавме буданд, ки дар санҷише ноком шуданд, ки ба он вобаста буд, ки Худо кӣро кӯшиш мекунад «таълим» диҳад, то «дониш» ё «таълимот»-ро «бифаҳманд». Ин санҷише буд, ки бар фаҳмидани афзоиши дониш асос ёфта буд; бинобар ин, он ҳамон санҷише буд, ки дар боби дувоздаҳуми Дониёл хирадмандонро аз шарирон ҷудо мекард, зеро ҳамаи анбиё мувофиқат доранд ва анҷоми ҷаҳонро муайян месозанд. Дар Дониёли 12 «хирадмандон» мефаҳманд, аммо «шарирон» афзоиши донишро намефаҳманд.</w:t>
      </w:r>
    </w:p>
    <w:p>
      <w:pPr>
        <w:pStyle w:val="ArticleBody"/>
        <w:jc w:val="left"/>
      </w:pPr>
      <w:r>
        <w:rPr>
          <w:rFonts w:ascii="Times New Roman" w:hAnsi="Times New Roman" w:eastAsia="Times New Roman" w:cs="Times New Roman"/>
        </w:rPr>
        <w:t>Мардуми порчаи Ишаъё ба воситаи «каломи Худованд» озмуда шуданд, каломе ки «онҳоро нахостанд бишнаванд». Ва ҳамон «каломи Худованд»-и муайяне, ки онҳо рад карданд, ва ки метавонист ба онҳо имкон диҳад, то афзоиши «дониш»-ро «бифаҳманд», ҳамон қоидаи Китоби Муқаддас буд, ки муайян месозад чӣ гуна таърихҳои нубувватиро дуруст ҳамоҳанг кардан лозим аст. Онҳое ки дар порчаи Ишаъё меафтанд, он қоидаро рад карданд, ки муайян мекунад: барои фаҳмидани як таърихи нубувватӣ, бояд он хатро «ин ҷо андаке ва он ҷо андаке» ҷустуҷӯ кард. Каломи Худованде, ки озмоише ба вуҷуд овард ва онҳо онро рад карданд, ҳамин усули баргузидани хатҳои нубувватӣ аз ин ҷо ва он ҷо буд, ва баъд яке аз он хатҳои баргузидашудаи таърихи нубувватиро бо дигар хатҳои таърихи нубувватӣ, ки ба ҳамон мавзӯъ дахл доранд, мувозӣ гузоштан. Муваффақияти кӯшиши ба ин тарз хат бар хат гузоштан ба татбиқи қоидаҳои ҳақиқии тафсири нубувватӣ вобаста аст. Он қоидаҳо, ки «фароиз» низ ҳастанд, бояд онҳо низ бо ҳам ҷамъ оварда шаванд, ва онҳо дар ин ҷо ва он ҷо дар дохили Китоби Муқаддас ёфт мешаванд. Бокирагони Ишаъё, ки аз озмоиш ноком мебароянд, аз он сабаб ноком мешаванд, ки чизи асосиеро, ки набояд фаромӯш мекарданд, фаромӯш мекунанд; ва он ин аст, ки таърих такрор мешавад.</w:t>
      </w:r>
    </w:p>
    <w:p>
      <w:pPr>
        <w:pStyle w:val="ArticleScripture"/>
        <w:jc w:val="left"/>
      </w:pPr>
      <w:r>
        <w:rPr>
          <w:rFonts w:ascii="Times New Roman" w:hAnsi="Times New Roman" w:eastAsia="Times New Roman" w:cs="Times New Roman"/>
        </w:rPr>
        <w:t>«Мо барои оянда аз ҳеҷ чиз тарсе надорем, магар он ки роҳеро, ки Худованд моро ба он ҳидоят намудааст, ва таълими Ӯро дар таърихи гузаштаи худ фаромӯш кунем». Life Sketches, 196.</w:t>
      </w:r>
    </w:p>
    <w:p>
      <w:pPr>
        <w:pStyle w:val="ArticleBody"/>
        <w:jc w:val="left"/>
      </w:pPr>
      <w:r>
        <w:rPr>
          <w:rFonts w:ascii="Times New Roman" w:hAnsi="Times New Roman" w:eastAsia="Times New Roman" w:cs="Times New Roman"/>
        </w:rPr>
        <w:t>Худо муаллифи нофаҳмӣ нест, ва яке аз нуқтаҳои устувори ин ҳақиқат он аст, ки ҳар як пайғамбар дар Китоби Муқаддас ҳамон як хати нубувватиро муайян мекунад. Ҳамаи онҳо рӯйдодҳои комилан яксонро дар он хат намебинанд, аммо он ҳамеша ҳамон як хати рӯйдодҳо дар поёни ҷаҳон аст. Инҳо рӯйдодҳое мебошанд, ки ба анҷоми муҳлати имтиёз мебаранд, ва баъд аз он ҳафт балои охирин меоянд, ки бо Омадани Дуввуми Масеҳ анҷом меёбанд. Ривояти як пайғамбар метавонад дар бораи қавми вафодори Худо дар он хати таърих бошад, аммо шаҳодати пайғамбари дигар метавонад дар бораи қавми бевафои Худо, ё дар бораи Иёлоти Муттаҳида, Ватикан, Созмони Милали Муттаҳид, тоҷирони замин ё Ислом бошад, аммо он ҳамеша ҳамон як хат аст.</w:t>
      </w:r>
    </w:p>
    <w:p>
      <w:pPr>
        <w:pStyle w:val="ArticleBody"/>
        <w:jc w:val="left"/>
      </w:pPr>
      <w:r>
        <w:rPr>
          <w:rFonts w:ascii="Times New Roman" w:hAnsi="Times New Roman" w:eastAsia="Times New Roman" w:cs="Times New Roman"/>
        </w:rPr>
        <w:t>Паёми Илёсиёне, ки дар Малокӣ омадааст, ҳамчунин паёмҳое, ки дар бобҳои якум, чордаҳум ва ҳаждаҳуми Ваҳй тасвир шудаанд, ва паёми Дониёл 11 ва 12, айнан як паём мебошанд. Ҳамаи онҳо як хати таърих мебошанд, аммо ҳар яке саҳми махсуси худро дар ин ҳикоя доранд.</w:t>
      </w:r>
    </w:p>
    <w:p>
      <w:pPr>
        <w:pStyle w:val="ArticleBody"/>
        <w:jc w:val="left"/>
      </w:pPr>
      <w:r>
        <w:rPr>
          <w:rFonts w:ascii="Times New Roman" w:hAnsi="Times New Roman" w:eastAsia="Times New Roman" w:cs="Times New Roman"/>
        </w:rPr>
        <w:t>Он чи дар бораи он паёми махсус қариб ба таври умумӣ нодуруст фаҳмида мешавад, ин ҳақиқат аст, ки он танҳо ба қавми Худо андаке пеш аз анҷоми муҳлати имтиҳони инсонӣ ошкор мегардад. Дониста, ки паёми махсус ҳамеша аз анҷоми наздики муҳлати имтиҳон огоҳӣ медиҳад, мо шояд равшантарин намунаи анҷоми муҳлати имтиҳонро дар Китоби Муқаддас баррасӣ хоҳем кард.</w:t>
      </w:r>
    </w:p>
    <w:p>
      <w:pPr>
        <w:pStyle w:val="ArticleScripture"/>
        <w:jc w:val="left"/>
      </w:pPr>
      <w:r>
        <w:rPr>
          <w:rFonts w:ascii="Times New Roman" w:hAnsi="Times New Roman" w:eastAsia="Times New Roman" w:cs="Times New Roman"/>
        </w:rPr>
        <w:t>Бигзор золим боз золимӣ кунад; ва палид боз палидӣ намояд; ва одил боз адолат ба ҷо оварад; ва муқаддас боз муқаддас гардад. Ваҳй 22:11.</w:t>
      </w:r>
    </w:p>
    <w:p>
      <w:pPr>
        <w:pStyle w:val="ArticleBody"/>
        <w:jc w:val="left"/>
      </w:pPr>
      <w:r>
        <w:rPr>
          <w:rFonts w:ascii="Times New Roman" w:hAnsi="Times New Roman" w:eastAsia="Times New Roman" w:cs="Times New Roman"/>
        </w:rPr>
        <w:t>Пеш аз он ки анҷоми вақти имтиёз дар муқаддасгоҳи боло бо суханони ояти ёздаҳ эълон карда шавад, аз китоби Ваҳй, ки барои бандагони Худо кушода гардонида шудааст, бояд як паёми махсуси ҳушдордиҳандаи нубувватӣ дода шавад.</w:t>
      </w:r>
    </w:p>
    <w:p>
      <w:pPr>
        <w:pStyle w:val="ArticleScripture"/>
        <w:jc w:val="left"/>
      </w:pPr>
      <w:r>
        <w:rPr>
          <w:rFonts w:ascii="Times New Roman" w:hAnsi="Times New Roman" w:eastAsia="Times New Roman" w:cs="Times New Roman"/>
        </w:rPr>
        <w:t>Ва ӯ ба ман мегӯяд: «Суханони нубуввати ин китобро мӯҳр макун, зеро вақт наздик аст. Бигзор золим ҳанӯз ҳам зулм кунад; ва нопок ҳанӯз ҳам нопок бимонад; ва одил ҳанӯз ҳам адолат намояд; ва муқаддас ҳанӯз ҳам муқаддас бимонад». Ваҳй 22:10, 11.</w:t>
      </w:r>
    </w:p>
    <w:p>
      <w:pPr>
        <w:pStyle w:val="ArticleBody"/>
        <w:jc w:val="left"/>
      </w:pPr>
      <w:r>
        <w:rPr>
          <w:rFonts w:ascii="Times New Roman" w:hAnsi="Times New Roman" w:eastAsia="Times New Roman" w:cs="Times New Roman"/>
        </w:rPr>
        <w:t>Пеш аз ҳафт балои охирин бояд паёми махсуси нубувватие бошад, ки қавми Худо онро бишносанд. Вақте ки он «вақт наздик аст», «нубуввати ин китоб» (нубуввати китоби Ваҳй), ки мӯҳр шуда буд, бояд кушода гардад. Ягона нубуввате дар китоби Ваҳй, ки мӯҳр шуда буд, нубуввати ҳафт раъд аст.</w:t>
      </w:r>
    </w:p>
    <w:p>
      <w:pPr>
        <w:pStyle w:val="ArticleScripture"/>
        <w:jc w:val="left"/>
      </w:pPr>
      <w:r>
        <w:rPr>
          <w:rFonts w:ascii="Times New Roman" w:hAnsi="Times New Roman" w:eastAsia="Times New Roman" w:cs="Times New Roman"/>
        </w:rPr>
        <w:t>Ва ман фариштаи дигари пурқудратеро дидам, ки аз осмон нозил мешуд, дар абр печида; ва бар сари ӯ камонқавсе буд, ва рӯи ӯ мисли офтоб буд, ва пойҳояш чун сутунҳои оташ. Ва дар дасти худ китоби кӯчаке кушода дошт; ва пои рости худро бар баҳр, ва пои чапи худро бар замин гузошт, Ва бо овози баланд нидо кард, чунон ки шер ғурриш мекунад; ва ҳангоме ки ӯ нидо кард, ҳафт раъд овозҳои худро бароварданд. Ва ҳангоме ки ҳафт раъд овозҳои худро бароварданд, ман наздик будам, ки бинависам; ва овозе аз осмон шунидам, ки ба ман мегуфт: «Он чизҳоро, ки ҳафт раъд гуфтаанд, мӯҳр кун, ва онҳоро нанавис». Ваҳй 10:1–4.</w:t>
      </w:r>
    </w:p>
    <w:p>
      <w:pPr>
        <w:pStyle w:val="ArticleBody"/>
        <w:jc w:val="left"/>
      </w:pPr>
      <w:r>
        <w:rPr>
          <w:rFonts w:ascii="Times New Roman" w:hAnsi="Times New Roman" w:eastAsia="Times New Roman" w:cs="Times New Roman"/>
        </w:rPr>
        <w:t>Каме пеш аз он ки муҳлати озмоиши инсон ба поён расад, ҳангоме ки «вақт наздик аст», бозкушоии як ҳақиқати махсуси Китоби Муқаддас ба амал хоҳад омад, ки «он чи бояд ба зудӣ воқеъ шавад»-ро муайян месозад. Фариштаи пурқудрати Ваҳй боби даҳ Исои Масеҳ аст, ки мисли Шер нидо кард.</w:t>
      </w:r>
    </w:p>
    <w:p>
      <w:pPr>
        <w:pStyle w:val="ArticleScripture"/>
        <w:jc w:val="left"/>
      </w:pPr>
      <w:r>
        <w:rPr>
          <w:rFonts w:ascii="Times New Roman" w:hAnsi="Times New Roman" w:eastAsia="Times New Roman" w:cs="Times New Roman"/>
        </w:rPr>
        <w:t>«Он фариштаи қавие, ки Юҳанноро таълим медод, шахсияте камтар аз Исои Масеҳ набуд. Гузоштани пои рости Худ бар баҳр ва пои чапи Худ бар хушкизамин нишон медиҳад он нақшеро, ки Ӯ дар саҳнаҳои хотимавии муборизаи бузург бо Шайтон иҷро мекунад. Ин мавқеъ қудрат ва ҳокимияти олии Ӯро бар тамоми замин ифода менамояд. Ин мубориза аз аср ба аср пурзӯртар ва қатъитар мегардид ва чунин идома хоҳад ёфт то ба саҳнаҳои анҷомине, ки дар онҳо амалиёти бисёр моҳиронаи қувваҳои зулмот ба авҷи худ хоҳад расид. Шайтон, дар иттиҳод бо одамони бад, тамоми ҷаҳон ва калисоҳоеро, ки муҳаббати ҳақро қабул намекунанд, фиреб хоҳад дод. Аммо он фариштаи қавӣ таваҷҷуҳро талаб мекунад. Ӯ бо овози баланд нидо мекунад. Ӯ бояд қудрат ва ҳокимияти овози Худро ба онҳое нишон диҳад, ки бо Шайтон барои муқобилат ба ҳақиқат муттаҳид шудаанд». The Seventh-day Adventist Bible Commentary, volume 7, 971.</w:t>
      </w:r>
    </w:p>
    <w:p>
      <w:pPr>
        <w:pStyle w:val="ArticleBody"/>
        <w:jc w:val="left"/>
      </w:pPr>
      <w:r>
        <w:rPr>
          <w:rFonts w:ascii="Times New Roman" w:hAnsi="Times New Roman" w:eastAsia="Times New Roman" w:cs="Times New Roman"/>
        </w:rPr>
        <w:t>Дар интиҳо «калисоҳо»-е, ки «Шайтон» онҳоро фиреб медиҳад, фиреб мехӯранд, зеро муҳаббати «ҳақиқат»-ро напазируфтанд. Калимаи «ҳақиқат» дар он порча аз дуюм Таслӯникиён, ки Хоҳар Уайт ҳоло ба он ишора кард, вожаи асосии юнонист, ки аз калимаи иброние бармеояд, ки ҳамчун «ҳақиқат» тарҷума шудааст, аз се ҳарфи ибронӣ таркиб ёфтааст ва Алфа ва Омегаро ифода мекунад. Оё ягон далели китобӣ вуҷуд дорад, ки ҳақиқати марбут ба қоидаи аввалин ёдоварӣ, ки як сифати хислати Масеҳро намояндагӣ мекунад, ҳамон ҳақиқатест, ки рад карда мешавад ва дар натиҷа фиреби қавӣ ба вуҷуд меорад?</w:t>
      </w:r>
    </w:p>
    <w:p>
      <w:pPr>
        <w:pStyle w:val="ArticleScripture"/>
        <w:jc w:val="left"/>
      </w:pPr>
      <w:r>
        <w:rPr>
          <w:rFonts w:ascii="Times New Roman" w:hAnsi="Times New Roman" w:eastAsia="Times New Roman" w:cs="Times New Roman"/>
        </w:rPr>
        <w:t>Акнун аз шумо, эй бародарон, ба василаи омадани Худованди мо Исои Масеҳ ва ҷамъ омадани мо назди Ӯ илтиҷо менамоем, ки шумо зуд дар ақл ба ларза наоед ва ошуфта нагардед, на аз рӯҳе, на аз сухане, ва на аз номае, ки гӯё аз ҷониби мо бошад, ба тавре ки рӯзи Масеҳ фаро расида бошад. Ҳеҷ кас шуморо ба ҳеҷ васила фиреб надиҳад; зеро он рӯз нахоҳад омад, магар он ки аввал муртадшавӣ ба вуқӯъ ояд ва он марди гуноҳ зоҳир гардад, писари ҳалокат, ки муқобилат мекунад ва худро болотар аз ҳар он чи Худо хонда мешавад ё парастиш меёбад, боло мебардорад; ба тавре ки ӯ, ҳамчун Худо, дар маъбади Худо менишинад ва худро нишон медиҳад, ки гӯё Худо бошад. Оё ба ёд намеоваред, ки вақте ҳанӯз назди шумо будам, ин чизҳоро ба шумо мегуфтам? Ва акнун шумо медонед он чиро, ки бозмедорад, то ӯ дар вақти худ зоҳир гардад. Зеро сирри шарорат аллакай амал мекунад; фақат он ки ҳоло бозмедорад, боз хоҳад дошт, то даме ки аз миён бардошта шавад. Ва он гоҳ он шарир зоҳир хоҳад шуд, ки Худованд ӯро бо рӯҳи даҳони Худ нест хоҳад кард ва бо дурахши омадани Худ маҳв хоҳад сохт; яъне ҳамон касе, ки омаданаш мувофиқи амали Шайтон аст, бо тамоми қудрат ва аломоту мӯъҷизаҳои дурӯғин, ва бо ҳар гуна фиреби ноинсофӣ дар миёни ҳалокшавандагон, зеро муҳаббати ростиро напазируфтанд, то наҷот ёбанд. Ва ба ҳамин сабаб Худо ба онҳо гумроҳии пурзӯр мефиристад, то ба дурӯғ имон оваранд, то ҳамаи онҳое ки ба ростӣ имон наоварданд, балки аз ноинсофӣ ҳаловат бурданд, маҳкум гарданд. 2 Таслӯникиён 2:1–12.</w:t>
      </w:r>
    </w:p>
    <w:p>
      <w:pPr>
        <w:pStyle w:val="ArticleBody"/>
        <w:jc w:val="left"/>
      </w:pPr>
      <w:r>
        <w:rPr>
          <w:rFonts w:ascii="Times New Roman" w:hAnsi="Times New Roman" w:eastAsia="Times New Roman" w:cs="Times New Roman"/>
        </w:rPr>
        <w:t>Ин порча аз китоби Таслӯникиён дар «Ҷадвалҳои Ҳабаққуқ» борҳо мавриди баррасӣ қарор гирифтааст, бинобар ин, дар ин маврид танҳо шарҳи кӯтоҳе хоҳем дод. Он чиро ки хоҳар Уайт «кори аҷоиби Шайтон» меномад, ҳамон аст, ки Павлус онро «амали Шайтон бо ҳар гуна қудрат ва аломатҳо ва мӯъҷизаҳои дурӯғин» мехонад. Кори фиребандае, ки хоҳар Уайт ва Павлус муайян кардаанд, аз қонуни якшанбе дар Иёлоти Муттаҳида оғоз меёбад.</w:t>
      </w:r>
    </w:p>
    <w:p>
      <w:pPr>
        <w:pStyle w:val="ArticleScripture"/>
        <w:jc w:val="left"/>
      </w:pPr>
      <w:r>
        <w:rPr>
          <w:rFonts w:ascii="Times New Roman" w:hAnsi="Times New Roman" w:eastAsia="Times New Roman" w:cs="Times New Roman"/>
        </w:rPr>
        <w:t>«Бо фармоне ки таҳкими ниҳоди Папагиро бар хилофи шариати Худо маҷбур месозад, миллати мо худро комилан аз росткорӣ ҷудо хоҳад кард. Ҳангоме ки протестантизм дасти худро аз болои он варта дароз карда, дасти қудрати Румро хоҳад гирифт; ҳангоме ки вай аз болои он жарфно гузашта, бо спиритизм дастфишорӣ хоҳад кард; ҳангоме ки, зери таъсири ин иттиҳоди сегона, кишвари мо ҳар як усули Конститутсияи худро ҳамчун ҳукумати протестантӣ ва ҷумҳуриявӣ рад хоҳад кард ва барои густариши дурӯғҳо ва фиребҳои папагӣ чора хоҳад андешид, он гоҳ мо метавонем бидонем, ки вақти фаъолияти аҷоибовари Шайтон фаро расидааст ва анҷом наздик аст». Testimonies, volume 5, 451.</w:t>
      </w:r>
    </w:p>
    <w:p>
      <w:pPr>
        <w:pStyle w:val="ArticleBody"/>
        <w:jc w:val="left"/>
      </w:pPr>
      <w:r>
        <w:rPr>
          <w:rFonts w:ascii="Times New Roman" w:hAnsi="Times New Roman" w:eastAsia="Times New Roman" w:cs="Times New Roman"/>
        </w:rPr>
        <w:t>Дар ин порчаи номаи Таслӯникиён, ки мо онро баррасӣ мекунем, Павлус попро дар охири ҷаҳон бо чаҳор истилоҳи гуногун муайян мекунад. Поп «марди гуноҳ» аст, ӯ «писари ҳалокат» аст, ӯ «сирри шарорат» ва «он Шарир» аст. Павлус ғайр аз ин чаҳор ном боз чанд хусусияти дигари попро низ баён мекунад, зеро ӯ ба мо хабар медиҳад, ки поп (ки дар рӯзгори Павлус ҳанӯз дар оянда буд) «дар вақти худ ошкор хоҳад шуд».</w:t>
      </w:r>
    </w:p>
    <w:p>
      <w:pPr>
        <w:pStyle w:val="ArticleBody"/>
        <w:jc w:val="left"/>
      </w:pPr>
      <w:r>
        <w:rPr>
          <w:rFonts w:ascii="Times New Roman" w:hAnsi="Times New Roman" w:eastAsia="Times New Roman" w:cs="Times New Roman"/>
        </w:rPr>
        <w:t>Поп «дар вақти худ ошкор мешуд», ва равшантарин далели Китоби Муқаддас, ҳарчанд ба ҳеҷ ваҷҳ ягона ҳақиқати Китоби Муқаддас нест; равшантарин ҳақиқати Китоби Муқаддас, ки попи калисои Рум ҳамон зиддимасеҳи пешгӯии Китоби Муқаддас аст, бо ҳафт ишораи гуногун ва мустақими Китоби Муқаддас собит мегардад, ки «замон»-еро муайян мекунанд, ки дар он папагӣ бар замин ҳукмронӣ мекард, ҳамон «замон»-е, ки инсоният онро Асрҳои Торик меномад. Китоби Муқаддас попро ҳамчун папагӣ ошкор месозад, зеро такроран айни давраи «замон»-ро, аз 538 то 1798, муайян менамояд, ки дар он папагӣ ҷаҳонро ҳукмронӣ мекард. Павлус гуфт, ки ӯ дар вақти худ ошкор хоҳад шуд.</w:t>
      </w:r>
    </w:p>
    <w:p>
      <w:pPr>
        <w:pStyle w:val="ArticleBody"/>
        <w:jc w:val="left"/>
      </w:pPr>
      <w:r>
        <w:rPr>
          <w:rFonts w:ascii="Times New Roman" w:hAnsi="Times New Roman" w:eastAsia="Times New Roman" w:cs="Times New Roman"/>
        </w:rPr>
        <w:t>Павлус ҳамчунин муайян месозад, ки маҳз папа он касест, ки «мухолифат мекунад ва худро аз ҳар он чи Худо хонда мешавад ё мавриди ибодат аст, болотар мебардорад; ба тавре ки ӯ ҳамчун Худо дар маъбади Худо менишинад ва худро нишон медиҳад, ки гӯё Худост». Аз ҷумла, ин муайян мекунад, ки зиддимасеҳе, ки дар пешгӯии Китоби Муқаддас зикр шудааст, рамзи динӣ аст. Ӯ на Ҳитлер аст ва на Искандари Макдунӣ. Ин боз ҳам шиносоии папаро маҳдудтар месозад, зеро ӯ танҳо як золими динӣ нест, балки золими диниест, ки даъво мекунад дар дохили маъбади Худо қарор дорад. Зиддимасеҳ даъво мекунад, ки дар дохили калисои масеҳӣ нишастааст.</w:t>
      </w:r>
    </w:p>
    <w:p>
      <w:pPr>
        <w:pStyle w:val="ArticleBody"/>
        <w:jc w:val="left"/>
      </w:pPr>
      <w:r>
        <w:rPr>
          <w:rFonts w:ascii="Times New Roman" w:hAnsi="Times New Roman" w:eastAsia="Times New Roman" w:cs="Times New Roman"/>
        </w:rPr>
        <w:t>Мувофиқи гуфтаҳои Павлус ва Дониёл, вақте ки папа дар калисои масеҳии эътирофнамудаи худ қарор дорад, ӯ хислати Шайтонро зоҳир менамояд, ки орзу дошт бар тахти Худо нишинад ва болотар аз ҳама чиз сарбаланд карда шавад. Ман Павлус ва Дониёл мегӯям, зеро аксари шарҳнависони Китоби Муқаддас эътироф мекунанд, ки вақте Павлус нишон медиҳад, ки яке аз хусусиятҳои папа он аст, ки ӯ як нарсиссисти комил аст, Павлус танҳо аз тавсифи Дониёл дар бораи папа дар боби ёздаҳуми китоби Дониёл иқтибос меовард, он ҷо ки Дониёл чунин менависад:</w:t>
      </w:r>
    </w:p>
    <w:p>
      <w:pPr>
        <w:pStyle w:val="ArticleScripture"/>
        <w:jc w:val="left"/>
      </w:pPr>
      <w:r>
        <w:rPr>
          <w:rFonts w:ascii="Times New Roman" w:hAnsi="Times New Roman" w:eastAsia="Times New Roman" w:cs="Times New Roman"/>
        </w:rPr>
        <w:t>«Ва подшоҳ мувофиқи иродаи худ амал хоҳад кард; ва худро баланд хоҳад бардошт, ва худро болотар аз ҳар худо бузург хоҳад шумурд, ва бар зидди Худои худоён суханони аҷиб хоҳад гуфт, ва то ба анҷом расидани ғазаб муваффақ хоҳад шуд; зеро он чи муайян гардидааст, ба амал хоҳад омад. Дониёл 11:36.»</w:t>
      </w:r>
    </w:p>
    <w:p>
      <w:pPr>
        <w:pStyle w:val="ArticleBody"/>
        <w:jc w:val="left"/>
      </w:pPr>
      <w:r>
        <w:rPr>
          <w:rFonts w:ascii="Times New Roman" w:hAnsi="Times New Roman" w:eastAsia="Times New Roman" w:cs="Times New Roman"/>
        </w:rPr>
        <w:t>Вақте ки Павлус ба хислати худпарастонаи папа муроҷиат мекунад, ӯ ояти Дониёлро ба маънои дигар баён намуда, мегӯяд, ки маҳз папа аст, ки «бар зиддият мекунад ва худро болотар аз ҳар он чи Худо хонда мешавад ё парастиш карда мешавад, мебардорад; ба тавре ки ӯ чун Худо дар маъбади Худо менишинад ва худро нишон медиҳад, ки ӯ Худо аст». Ояте дар Дониёл, ки хислати папагиро муайян мекунад, ҳамчунин ба «замон» ишора менамояд, ки барои «ошкор кардан» таъйин шуда буд, ки папагӣ зиддимасеҳ аст, зеро он муайян месозад, ки папагӣ то он даме «комёб хоҳад шуд», ки «қаҳр ба анҷом расад».</w:t>
      </w:r>
    </w:p>
    <w:p>
      <w:pPr>
        <w:pStyle w:val="ArticleBody"/>
        <w:jc w:val="left"/>
      </w:pPr>
      <w:r>
        <w:rPr>
          <w:rFonts w:ascii="Times New Roman" w:hAnsi="Times New Roman" w:eastAsia="Times New Roman" w:cs="Times New Roman"/>
        </w:rPr>
        <w:t>«Ғазаб» соли 1798 ба поён расид; бинобар ин, Дониёл дар ин оят (гарчанде ки ин яке аз он ҳафт мавзеъи мустақим дар китобҳои Дониёл ва Ваҳй нест, ки дар онҳо таърихи 1260-сола зикр шудааст), бо вуҷуди ин, қудрати папаро бевосита муайян мекунад ва ишора менамояд, ки он, ба таъбири Юҳанно, соли 1798 «зарбаи марговар» гирифт. Пас, ин оят анҷоми давраи ҳукмронии папаро муайян мекунад, ҳарчанд давомнокии он ҳукмронӣро муайян намесозад.</w:t>
      </w:r>
    </w:p>
    <w:p>
      <w:pPr>
        <w:pStyle w:val="ArticleBody"/>
        <w:jc w:val="left"/>
      </w:pPr>
      <w:r>
        <w:rPr>
          <w:rFonts w:ascii="Times New Roman" w:hAnsi="Times New Roman" w:eastAsia="Times New Roman" w:cs="Times New Roman"/>
        </w:rPr>
        <w:t>Дар он порча, Павлус инчунин қудратеро муайян мекунад, ки папагиро аз ба даст гирифтани идораи ҷаҳон дар соли 538 бозмедошт, ҳангоме ки ӯ изҳор намуд, ки таслӯникиёне, ки ба онҳо менавишт, ин ҳақиқати мушаххасро аллакай медонистанд. Ӯ ин саволро ба миён овард: «Оё дар ёд надоред, ки вақте ҳанӯз назди шумо будам, ин чизҳоро ба шумо мегуфтам?» Ӯ ба онҳо хотиррасон мекунад, ки аллакай медонистанд «чӣ чиз бозмедорад» (яъне монеъ мешавад) папагиро, то даме ки он «дар вақти худ ошкор гардад». Қудрате, ки пеш аз папагӣ вуҷуд дошт ва онро аз ба даст гирифтани идораи ҷаҳон бозмедошт, ҳамон қудрате буд, ки ҳангоми навиштани нома аз ҷониби Павлус бар ҷаҳон ҳукм меронд. Он Руми бутпараст буд. Павлус навишт, ки Руми бутпараст бояд «аз миён бардошта шавад», то папагӣ идораи ҷаҳонро ба даст гирад.</w:t>
      </w:r>
    </w:p>
    <w:p>
      <w:pPr>
        <w:pStyle w:val="ArticleBody"/>
        <w:jc w:val="left"/>
      </w:pPr>
      <w:r>
        <w:rPr>
          <w:rFonts w:ascii="Times New Roman" w:hAnsi="Times New Roman" w:eastAsia="Times New Roman" w:cs="Times New Roman"/>
        </w:rPr>
        <w:t>Маҳз ҳамин фаҳмиш буд, ки Вилям Миллерро водор сохт дарк намояд, ки қуввае, ки дар китоби Дониёл ҳамчун «рӯзмарра» рамзгузорӣ шудааст, Руми бутпараст мебошад. Адвентизм эътироф мекунад, ки сохтор, ва бинобар ин тамоми фаҳмишҳои нубувватии Вилям Миллер, бар асоси дарки ӯ аз китобҳои Дониёл ва Ваҳй бино шуда буд ва ин ду китоб ба ду қудрати вайронгар — Руми бутпараст ва Руми папавӣ — муроҷиат мекунанд. Дар порчаи Таслӯникиён Миллер, ки аллакай медонист (чунонки ҳар протестант дар замони ӯ медонист, ки папа зиддимасеҳ аст), вақте дарк кард, ки Руми бутпараст қудрати таърихиест, ки пеш аз ҳукмронии папавӣ вуҷуд дошт, ва Павлус гуфтааст, ки Руми бутпараст бояд пеш аз он ки папагӣ бар тахти замин барояд, аз миён бардошта шавад, пас инро бо китоби Дониёл ва «рӯзмарра» пайваст намуд, ки дар он се бор ишора мешавад, ки «рӯзмарра» бояд «аз миён бардошта шавад» пеш аз он ки папагӣ идораи ҷаҳонро ба даст гирад. Шаҳодати Павлус ба Миллер имкон дод бубинад, ки Руми бутпараст ҳамон «рӯзмарра»-и Дониёл аст, ва баъд аз он ӯ тавонист дарк намояд, ки ду қудрати вайронгари Дониёл Руми бутпараст ва Руми папавӣ мебошанд. Ин ҳақиқат таҳкурсии ҳаракати миллеритиро ифода мекунад. Адвентизм имрӯз, бешубҳа, кори Миллерро рад мекунад, вале онҳо ҳамоно мефаҳманд, ки ин шарҳи куллии ташаккули фаҳмиши Миллер дар бораи «рӯзмарра» дар Дониёл собит месозад, ки қудрате, ки Павлус мегӯяд то бардошта шудани он зуҳури қудрати папавиро «бозмедорад», Руми бутпараст буд, таҳлили дурусти андешаи Миллер дар бораи ин мавзӯъҳо мебошад.</w:t>
      </w:r>
    </w:p>
    <w:p>
      <w:pPr>
        <w:pStyle w:val="ArticleBody"/>
        <w:jc w:val="left"/>
      </w:pPr>
      <w:r>
        <w:rPr>
          <w:rFonts w:ascii="Times New Roman" w:hAnsi="Times New Roman" w:eastAsia="Times New Roman" w:cs="Times New Roman"/>
        </w:rPr>
        <w:t>Бо ҳақиқати он ки «ҳамешагӣ» дар китоби Дониёл рамзи Руми бутпараст аст, ки пеш аз подшоҳии Руми папавӣ меомад, ки Дониёл онро ҳамчун макруҳи вайронӣ тасвир карда буд, Миллер тавонист замонҳои нубувватиро, ки бо подшоҳиҳои пешгӯии Китоби Муқаддас вобаста буданд, дарк намояд; ва ҳангоме ки зеҳни ӯ ба рӯи ин бинишҳо кушода шуд, ӯ як силсила ҳақиқатҳоро ҷамъ овард, ки пояҳои Адвентизмро намояндагӣ мекунанд. Он ҳақиқатҳо бар ду ҷадвали пешоҳангони солҳои 1843 ва 1850 ҷойгоҳи устувор ёфтанд. Он ҳақиқатҳо таҳкурсии Адвентизм мебошанд ва онҳо бар шинохти «замон» асос ёфта буданд. Таърихи он ки кай ин пояҳо гузошта шуданд, мавзӯи асосии баррасӣ дар «Ҷадвалҳои Ҳабаққуқ» мебошад.</w:t>
      </w:r>
    </w:p>
    <w:p>
      <w:pPr>
        <w:pStyle w:val="ArticleBody"/>
        <w:jc w:val="left"/>
      </w:pPr>
      <w:r>
        <w:rPr>
          <w:rFonts w:ascii="Times New Roman" w:hAnsi="Times New Roman" w:eastAsia="Times New Roman" w:cs="Times New Roman"/>
        </w:rPr>
        <w:t>Он чи дар Ҷадвалҳои Ҳабаққуқ нишон дода нашудааст, ин аст, ки пояҳое, ки бар вақт асос ёфта буданд, сохторе ба вуҷуд оварданд, ки назари лозимаро фароҳам меовард, то насли охирин дарк намояд, ки ҳақиқатҳое буданд, ки ҳамчун пояҳо муаррифӣ шудаанд. Як ҳақиқати аввалин вуҷуд дошт, ки нахустин санге буд, ки дар поя гузошта шуд, аммо «қурбонии ҳамешагӣ» дар китоби Дониёл аввалин ҳақиқати Миллер набуд. Ҳақиқате, ки бояд ба санги аввалини пояе табдил меёфт, ки Миллер барои бино кардани он бархезонида шуд, «ҳафт замон»-и Ибодат 26 буд; вале бидуни ҳақиқати «қурбонии ҳамешагӣ», Миллер сохтори нубувватеро, ки мебоист барои пешкаш намудани паёми фариштаи аввал дарк мекард, дарк намекард. Сохтори ӯ ин буд, ки нубувватро дар дурнамои ду қувваи вайронгар ҷой медод. Миллер ба аждаҳо (Руми бутпараст) ва ҳайвон (папагарӣ) муроҷиат мекард. Фариштаи сеюм ба аждаҳо (Созмони Милали Муттаҳид), ҳайвон (папагарӣ) ва набии козиб (Иёлоти Муттаҳида) муроҷиат мекунад.</w:t>
      </w:r>
    </w:p>
    <w:p>
      <w:pPr>
        <w:pStyle w:val="ArticleBody"/>
        <w:jc w:val="left"/>
      </w:pPr>
      <w:r>
        <w:rPr>
          <w:rFonts w:ascii="Times New Roman" w:hAnsi="Times New Roman" w:eastAsia="Times New Roman" w:cs="Times New Roman"/>
        </w:rPr>
        <w:t>Агар шахсе ҳамаи пешгӯиҳои вақтро, на баъзеи онҳоро, балки ҳамаро, ки аз ҷониби миллериён дар ду ҷадвали муқаддаси пешоҳанг пешниҳод гардидаанд, қабул кунад, он шахс бояд он ҳақиқатҳоро шахсан таҳқиқ намояд. Чӣ гуна метавонистед онҳоро қабул кунед, агар ҳаргиз онҳоро наомӯхта бошед? Агар онҳое, ки ҳақиқатҳои бунёдиро таҳқиқ мекунанд, санҷидани он ҳақиқатҳоро масъулияти шахсии худ гардонанд ва пас аз он ҳамаи он ҳақиқатҳоро қабул намоянд, пас онҳо бар Сахра бино кардаанд, на бар рег.</w:t>
      </w:r>
    </w:p>
    <w:p>
      <w:pPr>
        <w:pStyle w:val="ArticleScripture"/>
        <w:jc w:val="left"/>
      </w:pPr>
      <w:r>
        <w:rPr>
          <w:rFonts w:ascii="Times New Roman" w:hAnsi="Times New Roman" w:eastAsia="Times New Roman" w:cs="Times New Roman"/>
        </w:rPr>
        <w:t>«Бигзор онҳое ки чун посбонони Худо бар деворҳои Сион меистанд, мардоне бошанд ки хатараҳоро пеш аз мардум бубинанд,—мардоне ки тавонанд миёни ҳақиқат ва гумроҳӣ, адолат ва беадолатӣ фарқ гузоранд. »</w:t>
      </w:r>
    </w:p>
    <w:p>
      <w:pPr>
        <w:pStyle w:val="ArticleScripture"/>
        <w:jc w:val="left"/>
      </w:pPr>
      <w:r>
        <w:rPr>
          <w:rFonts w:ascii="Times New Roman" w:hAnsi="Times New Roman" w:eastAsia="Times New Roman" w:cs="Times New Roman"/>
        </w:rPr>
        <w:t>«Огоҳӣ расидааст: набояд иҷозат дода шавад, ки чизе ворид гардад, ки таҳкурсии имонеро, ки мо бар он аз ҳамон вақте ки паём дар солҳои 1842, 1843 ва 1844 омад, бино карда истодаем, халалдор созад. Ман дар ин паём будам, ва аз ҳамон вақт то имрӯз дар пеши ҷаҳон истодаам ва ба нуре, ки Худо ба мо додааст, содиқ мондаам. Мо қасд надорем пойҳои худро аз он суффае бардорем, ки бар он ниҳода шуданд, дар ҳоле ки рӯз ба рӯз бо дуои ҷиддӣ Худовандро меҷустем ва дар ҷустуҷӯи нур будем. Оё гумон мекунед, ки ман метавонам аз нуре, ки Худо ба ман додааст, даст кашам? Он бояд мисли Сахраи Абадҳо бошад. Он аз ҳамон вақте ки ба ман дода шуд, пайваста маро ҳидоят кардааст». Review and Herald, 14 апрели 1903.</w:t>
      </w:r>
    </w:p>
    <w:p>
      <w:pPr>
        <w:pStyle w:val="ArticleBody"/>
        <w:jc w:val="left"/>
      </w:pPr>
      <w:r>
        <w:rPr>
          <w:rFonts w:ascii="Times New Roman" w:hAnsi="Times New Roman" w:eastAsia="Times New Roman" w:cs="Times New Roman"/>
        </w:rPr>
        <w:t>Барои онҳое ки мешунаванд, то нубувватҳои замонии таърихи миллериро таҳлил намоянд, лозим меояд, ки ба давраҳои таърихие назар афкананд, ки нубувватҳои замонӣ онҳоро ифода мекунанд. Ин кори ба тасвир овардани рӯйдодҳо бар рӯйи хатти замонро ифода менамояд. Вақте ки донишҷӯи нубувват ба он сатҳи таҳқиқ мерасад, ки ин давраҳои нубувватиро, ки миллерӣҳо аз Китоби Муқаддас муайян карда, сипас сабти таърихӣ онҳоро дастгирӣ намудааст, баррасӣ мекунад, ӯ дар мавқее хоҳад буд, ки бишиносад: таърихи воқеъ дар оғози нубуввати замонӣ ба таври рамзӣ таърихи дар анҷоми ҳамон нубувват бударо намуна месозад. Аз он нуқтаи назар, донишҷӯ бояд биомӯзад, ки таърих такрор мешавад. Ва бо устувор будани ин фаҳмиш, ӯ ҳамчунин бояд бубинад, ки Исо анҷомро ба воситаи оғоз тасвир менамояд.</w:t>
      </w:r>
    </w:p>
    <w:p>
      <w:pPr>
        <w:pStyle w:val="ArticleBody"/>
        <w:jc w:val="left"/>
      </w:pPr>
      <w:r>
        <w:rPr>
          <w:rFonts w:ascii="Times New Roman" w:hAnsi="Times New Roman" w:eastAsia="Times New Roman" w:cs="Times New Roman"/>
        </w:rPr>
        <w:t>Ва аз силсилаи нубувватие, ки анҷоми ҷаҳонро ҳамчун «бино шудани маъбад» тасвир мекунад, донишҷӯ бояд бидонад, ки санги ниҳоии тоҷе ҳаст, ки бар маъбаде, ки бар таҳкурсӣ бино шудааст, гузошта мешавад. Ӯ бояд бифаҳмад, ки таҳкурсии маъбад, ки Миллер барои ба рӯшноӣ овардани он ба кор бурда шуд (ки намояндаи Исои Масеҳ аст, зеро ҳеҷ таҳкурсии дигаре ҷуз Исои Масеҳ гузошта намешавад), таҳкурсие буд, ки бар вақти нубувватӣ бино шуда буд. Азбаски Исо анҷомро бо ибтидо мисол меорад, донишҷӯ ҳамчунин бояд бубинад, ки санги тоҷ — санги ниҳоӣ бар маъбад — бояд ба таҳкурсӣ мутобиқат дошта бошад. Таҳкурсии маъбад барои Миллер вақти нубувватӣ буд, аммо он таҳкурсӣ ба ҳар ҳол Исои Масеҳ буд.</w:t>
      </w:r>
    </w:p>
    <w:p>
      <w:pPr>
        <w:pStyle w:val="ArticleScripture"/>
        <w:jc w:val="left"/>
      </w:pPr>
      <w:r>
        <w:rPr>
          <w:rFonts w:ascii="Times New Roman" w:hAnsi="Times New Roman" w:eastAsia="Times New Roman" w:cs="Times New Roman"/>
        </w:rPr>
        <w:t>Мувофиқи файзи Худо, ки ба ман дода шудааст, ҳамчун бинокори донo, ман таҳкурсиро ниҳодаам, ва дигаре бар он бино мекунад. Аммо бигзор ҳар кас эҳтиёт кунад, ки чӣ гуна бар он бино мекунад. Зеро ҳеҷ кас наметавонад ғайр аз он таҳкурсие, ки ниҳода шудааст, таҳкурсии дигаре бимонад, ва он Исои Масеҳ аст. 1 Қӯринтиён 3:10, 11.</w:t>
      </w:r>
    </w:p>
    <w:p>
      <w:pPr>
        <w:pStyle w:val="ArticleBody"/>
        <w:jc w:val="left"/>
      </w:pPr>
      <w:r>
        <w:rPr>
          <w:rFonts w:ascii="Times New Roman" w:hAnsi="Times New Roman" w:eastAsia="Times New Roman" w:cs="Times New Roman"/>
        </w:rPr>
        <w:t>Павлус кори худро ҳамчун барпо намудани маъбаде муайян мекунад, ки ӯ таҳкурсии он, ё ибтидои онро, гузошта буд. Ӯ расули халқҳо буд ва барои гузоштани таҳкурсии калисои масеҳӣ ба кор бурда шуд. Дар ҳамон порча Павлус ҳамчунин муайян мекунад, ки ҷисмҳои мо маъбади Рӯҳулқудс мебошанд. Ҳамчунин маъбади Сулаймон ва муқаддасгоҳи биёбон низ ҳастанд, ки ҳама таҳкурсӣ доранд ва ҳамаи онҳо ҳамчун Исои Масеҳ муаррифӣ шудаанд. Таҳкурсие, ки Миллер барои барпо намудани он ба кор бурда шуд, маъбади адвентизм буд, ва таҳкурсии он маъбад, бешубҳа, Исои Масеҳ аст; аммо ба таври мушаххастар, он маъбадест, ки бо масолеҳи рӯҳонӣ ва нубувватӣ барпо карда мешавад.</w:t>
      </w:r>
    </w:p>
    <w:p>
      <w:pPr>
        <w:pStyle w:val="ArticleBody"/>
        <w:jc w:val="left"/>
      </w:pPr>
      <w:r>
        <w:rPr>
          <w:rFonts w:ascii="Times New Roman" w:hAnsi="Times New Roman" w:eastAsia="Times New Roman" w:cs="Times New Roman"/>
        </w:rPr>
        <w:t>Пас, санги тоҷ низ бояд Исои Масеҳ бошад, вале санги тоҷ ҳамчунин бояд як қоидаи аълои нубувватиро дар бар гирад, зеро ба Миллер маҷмӯае аз қоидаҳо дода шуд, ки қоидаи асосии миллериёнро дар худ дошт, ва он асли «як сол бар ивази як рӯз» буд. Бе он қоида, ҳеҷ гуна шинохти нубуввати замонӣ вуҷуд надорад ва бинобар ин ҳеҷ таҳкурсие ҳам нест. Дар охир низ бояд ҳамтое бошад, ки Исои Масеҳро (Таҳкурсиро) намояндагӣ мекунад ва қоидаи аслӣ дар дохили маҷмӯае аз қоидаҳо бошад, ки «Ваҳйи Исои Масеҳ»-ро барқарор месозад. Ин қоида, албатта, қоидаи «ёдкарди аввал» аст, ки он сифати хислати Масеҳро намояндагӣ мекунад, ки анҷомро аз ибтидо муайян месозад.</w:t>
      </w:r>
    </w:p>
    <w:p>
      <w:pPr>
        <w:pStyle w:val="ArticleBody"/>
        <w:jc w:val="left"/>
      </w:pPr>
      <w:r>
        <w:rPr>
          <w:rFonts w:ascii="Times New Roman" w:hAnsi="Times New Roman" w:eastAsia="Times New Roman" w:cs="Times New Roman"/>
        </w:rPr>
        <w:t>Дар 2 Таслӯникиён онҳое ки муҳаббати ростиро, то наҷот ёбанд, қабул накарданд, ростиро рад намуданд, чунонки ин бо калимаи юнонӣ ифода шудааст, ки аз калимаи ибрӣ, сохташуда аз се ҳарф, бармеояд ва дар Аҳди Қадим ба «ростӣ» тарҷума шудааст. Гурӯҳе ки фиреби қавиро қабул мекунад, зеро ба дурӯғ имон овард, аз бозгашт ба роҳҳои куҳан, ба асосҳои Адвентизм, ки бар ду нақшаи муқаддас ифода ёфтаанд, сарпечӣ намуд. Пас, дар порчае ки мо акнун муддате боз баррасӣ карда истодаем, чунин гуфта мешавад:</w:t>
      </w:r>
    </w:p>
    <w:p>
      <w:pPr>
        <w:pStyle w:val="ArticleScripture"/>
        <w:jc w:val="left"/>
      </w:pPr>
      <w:r>
        <w:rPr>
          <w:rFonts w:ascii="Times New Roman" w:hAnsi="Times New Roman" w:eastAsia="Times New Roman" w:cs="Times New Roman"/>
        </w:rPr>
        <w:t>«Фариштаи қудратманде, ки Юҳанноро таълим медод, ҷуз Исои Масеҳ шахсияте камтар набуд. Гузоштани пои рости Ӯ бар баҳр ва пои чапаш бар хушкӣ нишон медиҳад нақше, ки Ӯ дар саҳнаҳои хотимавии муборизаи бузург бо Шайтон иҷро мекунад. Ин мавқеъ қудрат ва ҳокимияти олии Ӯро бар тамоми замин ифода менамояд. Ин мубориза аз аср ба аср пурзӯртар ва қотеъонатар гардида буд ва чунин идома хоҳад ёфт то саҳнаҳои анҷом, вақте ки фаъолияти моҳиронаи қувваҳои зулмот ба авҷи худ хоҳад расид. Шайтон, ки бо одамони шарир муттаҳид шудааст, тамоми ҷаҳон ва калисоҳоро, ки муҳаббати ростиро қабул намекунанд, фиреб хоҳад дод. Аммо он Фариштаи қудратманд таваҷҷуҳ металабад. Ӯ бо овози баланд нидо мекунад. Ӯ бояд қудрат ва ҳокимияти овози Худро ба онҳое нишон диҳад, ки бо Шайтон барои муқобилат ба ростӣ муттаҳид шудаанд». The Seventh-day Adventist Bible Commentary, volume 7, 971.</w:t>
      </w:r>
    </w:p>
    <w:p>
      <w:pPr>
        <w:pStyle w:val="ArticleBody"/>
        <w:jc w:val="left"/>
      </w:pPr>
      <w:r>
        <w:rPr>
          <w:rFonts w:ascii="Times New Roman" w:hAnsi="Times New Roman" w:eastAsia="Times New Roman" w:cs="Times New Roman"/>
        </w:rPr>
        <w:t>Дар ин порчаи пешина «калисоҳое, ки муҳаббати ростиро напазируфтанд» ҳамон бокирагони шарир ва аблаҳанд, ки ба Дониёл ва Матто тааллуқ доранд ва Омӯс 8:12 муайян месозад, ки онҳо ҷустуҷӯи паёми охирини огоҳкунандаи Худоро ҳангоме оғоз хоҳанд кард, ки аллакай дер шудааст. Дер шудааст, зеро онҳо дар бораи пояҳои Адвентизм ба дурӯғе имон оварданд. Адвентизм бори аввал дар соли 1863 ба фурӯ бурдани он дурӯғ оғоз кард, ва аз он пас тамоми роҳ танҳо рӯ ба таназзул буд.</w:t>
      </w:r>
    </w:p>
    <w:p>
      <w:pPr>
        <w:pStyle w:val="ArticleBody"/>
        <w:jc w:val="left"/>
      </w:pPr>
      <w:r>
        <w:rPr>
          <w:rFonts w:ascii="Times New Roman" w:hAnsi="Times New Roman" w:eastAsia="Times New Roman" w:cs="Times New Roman"/>
        </w:rPr>
        <w:t>Он чи мехоҳам бинависам, гумон мекунам, комилан субъективӣ аст, аммо аз соли 1863 инҷониб ба адвентизм кадом нури нави нубувватӣ ворид карда шуд? Эллен Уайт дар бораи паёми Ҷоунс ва Уаггонер дар соли 1888 мегӯяд, ки он ҳамон паёме буд, ки ӯ солҳои зиёд пешкаш мекард. Шояд паёми онҳо дар соли 1888 ба адвентизм нав ва такондиҳанда садо дода бошад, аммо он навӣ ва он такон на аз паёми нав, балки аз кӯрие бармеомад, ки аз соли 1863 инҷониб бар қавми Худо фаро менишаст.</w:t>
      </w:r>
    </w:p>
    <w:p>
      <w:pPr>
        <w:pStyle w:val="ArticleBody"/>
        <w:jc w:val="left"/>
      </w:pPr>
      <w:r>
        <w:rPr>
          <w:rFonts w:ascii="Times New Roman" w:hAnsi="Times New Roman" w:eastAsia="Times New Roman" w:cs="Times New Roman"/>
        </w:rPr>
        <w:t>Эллен Уайт Адвентизмро пеш аз соли 1863 дар ҳолати Лаодикия муайян карда буд, бинобар ин кӯрии Лаодикия аллакай пеш аз соли 1863 бар Адвентизм фаро мерасид, аммо дар соли 1863 калисо расман ҳақиқатро дар бораи «ҳафт замон»-и Левизод бисту шаш канор гузошт, ки он нахустин «пешгӯии замонӣ» буд, ки Миллер кашф карда буд. Аз соли 1863 инҷониб дар Адвентизм ҳеҷ нури нубувватӣ падид наомадааст! Чӣ тағйир ёфт?</w:t>
      </w:r>
    </w:p>
    <w:p>
      <w:pPr>
        <w:pStyle w:val="ArticleBody"/>
        <w:jc w:val="left"/>
      </w:pPr>
      <w:r>
        <w:rPr>
          <w:rFonts w:ascii="Times New Roman" w:hAnsi="Times New Roman" w:eastAsia="Times New Roman" w:cs="Times New Roman"/>
        </w:rPr>
        <w:t>Аввалин санги таҳкурсии маъбад, ки бар замони набувватӣ бино ёфта буд ва Исои Масеҳро ифода менамуд, аз ҷониби адвентизм дар соли 1863 канор гузошта шуд. Аввалин санге, ки Миллер ба таҳкурсии маъбад, ки бар замон асос ёфта буд, гузошт, чунон ки он дар китоби Дониёл аз ҷониби Масеҳ пешниҳод шудааст, ва Ӯ Худро ҳамчун Палмонӣ — «шуморакунандаи аҷоиб» — муаррифӣ менамуд, рад карда шуда, канор гузошта шуд. Ҳамон аввалин санге, ки Миллер кашф карда буд…</w:t>
      </w:r>
    </w:p>
    <w:p>
      <w:pPr>
        <w:pStyle w:val="ArticleScripture"/>
        <w:jc w:val="left"/>
      </w:pPr>
      <w:r>
        <w:rPr>
          <w:rFonts w:ascii="Times New Roman" w:hAnsi="Times New Roman" w:eastAsia="Times New Roman" w:cs="Times New Roman"/>
        </w:rPr>
        <w:t>«Ҳангоми иқтибос овардан аз пешгӯии санги радшуда, Масеҳ ба воқеаи воқеие дар таърихи Исроил ишора кард. Ин воқеа ба бино шудани маъбади аввал вобаста буд. Гарчанде ки он дар замони омадани аввалини Масеҳ татбиқи махсус дошт ва бояд бо қувваи махсус ба яҳудиён таъсир мекард, барои мо низ дарсе дорад. Вақте ки маъбади Сулаймон бино карда мешуд, сангҳои азими деворҳо ва таҳкурсӣ пурра дар кон омода мегардиданд; баъд аз он ки онҳоро ба ҷои сохтмон меоварданд, дигар набояд бар онҳо ҳеҷ асбобе истифода мешуд; коргарон танҳо бояд онҳоро дар ҷои худ мегузоштанд. Барои истифода дар таҳкурсӣ як санги андозаи ғайриодӣ ва шакли хос оварда шуда буд; аммо коргарон барои он ҳеҷ ҷойе ёфта натавонистанд ва онро қабул накарданд. Вақте ки он беҳуда дар роҳи онҳо хобида буд, барои онҳо боиси озор мегардид. Муддати дароз он санги радшуда боқӣ монд. Аммо вақте ки бинокорон ба гузоштани гӯша расиданд, онҳо муддати тӯлонӣ ҷустуҷӯ карданд, то сангеро пайдо намоянд, ки андоза ва қувваи кофӣ ва шакли муносиб дошта бошад, то он ҷойи махсусро ишғол намояд ва вазни азимеро, ки бар он хоҳад афтод, бардорад. Агар онҳо барои ин ҷойи муҳим интихоби нодуруст мекарданд, амнияти тамоми бино ба хатар меафтод. Онҳо бояд сангеро меёфтанд, ки тавонад ба таъсири офтоб, сармо ва тӯфон муқовимат намояд. Дар вақтҳои гуногун чандин санг интихоб шуда буданд, аммо зери фишори вазнҳои азим онҳо пора-пора мешуданд. Дигарон озмоиши тағйироти ногаҳонии ҳаворо тоб оварда наметавонистанд. Аммо ниҳоят диққат ба ҳамон санге ҷалб гардид, ки ин қадар муддат рад шуда буд. Он ба ҳаво, ба офтоб ва ба тӯфон дучор шуда буд, бе он ки хурдтарин шикоферо ошкор намояд. Бинокорон ин сангро санҷиданд. Он ба ҷуз аз як озмоиш, ба ҳар озмоиш тоб оварда буд. Агар метавонист озмоиши фишори сахтро низ бардорад, онҳо қарор доданд, ки онро барои санги гӯша қабул кунанд. Озмоиш гузаронида шуд. Санг пазируфта шуд, ба ҷои барои он муқарраршуда оварда шуд ва маълум гардид, ки он комилан мувофиқ аст. Дар рӯъёи нубувватӣ ба Ишаъё нишон дода шуд, ки ин санг рамзи Масеҳ буд. Ӯ мегӯяд:»</w:t>
      </w:r>
    </w:p>
    <w:p>
      <w:pPr>
        <w:pStyle w:val="ArticleScripture"/>
        <w:jc w:val="left"/>
      </w:pPr>
      <w:r>
        <w:rPr>
          <w:rFonts w:ascii="Times New Roman" w:hAnsi="Times New Roman" w:eastAsia="Times New Roman" w:cs="Times New Roman"/>
        </w:rPr>
        <w:t>«Худи Парвардигори лашкарҳоро муқаддас шуморед; ва Ӯ бигзор тарси шумо бошад, ва Ӯ бигзор ҳайбати шумо бошад. Ва Ӯ барои муқаддасгоҳ хоҳад буд; аммо барои ҳар ду хонадони Исроил санги пешпо ва сахраи васваса, барои сокинони Ерусалим дом ва тӯр хоҳад шуд. Ва бисёре аз миёни онҳо пешпо хоҳанд хӯрд, ва хоҳанд афтод, ва шикаста хоҳанд шуд, ва ба дом хоҳанд афтод, ва дастгир хоҳанд шуд». Дар рӯъёи нубувватӣ ба замони омадани аввали Масеҳ бурда шуда, ба пайғамбар нишон дода мешавад, ки Масеҳ бояд озмоишҳо ва имтиҳонҳоеро бардорад, ки муносибат бо санги асосии гӯша дар маъбади Сулаймон рамзи онҳо буд. «Бинобар ин чунин мегӯяд Худованд Парвардигор: инак, Ман дар Сион барои бунёд санге мениҳам, санги озмудашуда, санги гаронбаҳои гӯша, таҳкурсии устувор: ҳар кӣ имон оварад, шитоб нахоҳад кард». Ишаъё 8:13–15; 28:16.</w:t>
      </w:r>
    </w:p>
    <w:p>
      <w:pPr>
        <w:pStyle w:val="ArticleScripture"/>
        <w:jc w:val="left"/>
      </w:pPr>
      <w:r>
        <w:rPr>
          <w:rFonts w:ascii="Times New Roman" w:hAnsi="Times New Roman" w:eastAsia="Times New Roman" w:cs="Times New Roman"/>
        </w:rPr>
        <w:t>«Бо ҳикмати беинтиҳо, Худо санги бунёдиро баргузид ва Худ онро гузошт. Ӯ онро “таҳкурсии устувор” номид. Тамоми ҷаҳон метавонад бори гарон ва ғамҳои худро бар он ниҳад; он ҳамаашонро метавонад таҳаммул кунад. Бо амнияти комил онҳо метавонанд бар он бино кунанд. Масеҳ “санги озмудашуда” аст. Онҳое ки ба Ӯ таваккал мекунанд, Ӯ ҳеҷ гоҳ ноумедашон намесозад. Ӯ ҳар озмоишро бардоштааст. Ӯ фишори гуноҳи Одам ва гуноҳи насли ӯро таҳаммул кардааст ва бар қувваҳои шарир бештар аз ғолиб берун омадааст. Ӯ бори гаронеро, ки ҳар гуноҳкори тавбакарда бар Ӯ андохтааст, бардоштааст. Дар Масеҳ дили айбдор раҳоӣ ёфтааст. Ӯ таҳкурсии устувор аст. Ҳамаи онҳое ки Ӯро такягоҳи худ месозанд, дар амнияти комил ором мегиранд.»</w:t>
      </w:r>
    </w:p>
    <w:p>
      <w:pPr>
        <w:pStyle w:val="ArticleScripture"/>
        <w:jc w:val="left"/>
      </w:pPr>
      <w:r>
        <w:rPr>
          <w:rFonts w:ascii="Times New Roman" w:hAnsi="Times New Roman" w:eastAsia="Times New Roman" w:cs="Times New Roman"/>
        </w:rPr>
        <w:t>«Дар пешгӯии Ишаъё, Масеҳ ҳам таҳкурсии устувор ва ҳам санги пешпо хӯрдан эълон шудааст. Ҳавворӣ Петрус, ки бо илҳоми Рӯҳулқудс менависад, ба равшанӣ нишон медиҳад, ки барои кӣ Масеҳ санги таҳкурсӣ аст ва барои кӣ санги васваса:</w:t>
      </w:r>
    </w:p>
    <w:p>
      <w:pPr>
        <w:pStyle w:val="ArticleScripture"/>
        <w:jc w:val="left"/>
      </w:pPr>
      <w:r>
        <w:rPr>
          <w:rFonts w:ascii="Times New Roman" w:hAnsi="Times New Roman" w:eastAsia="Times New Roman" w:cs="Times New Roman"/>
        </w:rPr>
        <w:t>«Агар воқеан чашида бошед, ки Худованд меҳрубон аст. Ба назди Ӯ биёед, ки санги зинда аст, ҳарчанд аз ҷониби одамон радшуда, вале назди Худо баргузида ва гаронбаҳост; шумо низ, чун сангҳои зинда, бино мешавед ба хонаи рӯҳонӣ, каҳонати муқаддас, то қурбониҳои рӯҳоние пешкаш намоед, ки ба воситаи Исои Масеҳ назди Худо мақбуланд. Зеро дар Навишта низ омадааст: “Инак, Ман дар Сион санги гӯшаи асосӣ мегузорам, баргузида ва гаронбаҳо; ва ҳар кӣ ба Ӯ имон оварад, ҳаргиз шарманда нахоҳад шуд”. Пас, барои шумо, ки имон доред, Ӯ гаронбаҳост; аммо барои онҳое ки нофармонанд, “он санге ки бинокорон рад карданд, ҳамон сарсанги гӯша гардид”, ва “санги пешпо ва сахраи васваса”, яъне барои онҳое ки аз калом пешпо мехӯранд, чун нофармонанд». 1 Петрус 2:3–8.</w:t>
      </w:r>
    </w:p>
    <w:p>
      <w:pPr>
        <w:pStyle w:val="ArticleScripture"/>
        <w:jc w:val="left"/>
      </w:pPr>
      <w:r>
        <w:rPr>
          <w:rFonts w:ascii="Times New Roman" w:hAnsi="Times New Roman" w:eastAsia="Times New Roman" w:cs="Times New Roman"/>
        </w:rPr>
        <w:t>«Барои касоне ки имон меоваранд, Масеҳ таҳкурсии устувор аст. Инҳо ҳамонҳоянд, ки бар Рок меафтанд ва шикаста мешаванд. Дар ин ҷо таслим шудан ба Масеҳ ва имон ба Ӯ тасвир шудааст. Бар Рок афтода шикаста шудан маънои онро дорад, ки мо аз худодилбарории худ даст кашем ва бо фурӯтании кӯдак ба назди Масеҳ биёем, аз гуноҳҳои худ тавба намуда, ба муҳаббати бахшояндаи Ӯ имон оварем. Ва ҳамчунин, маҳз ба воситаи имон ва итоат мо бар Масеҳ ҳамчун бар таҳкурсии худ бино мекунем. »</w:t>
      </w:r>
    </w:p>
    <w:p>
      <w:pPr>
        <w:pStyle w:val="ArticleScripture"/>
        <w:jc w:val="left"/>
      </w:pPr>
      <w:r>
        <w:rPr>
          <w:rFonts w:ascii="Times New Roman" w:hAnsi="Times New Roman" w:eastAsia="Times New Roman" w:cs="Times New Roman"/>
        </w:rPr>
        <w:t>«Бар ин санги зинда ҳам яҳудиён ва ҳам ғайрияҳудиён метавонанд бино кунанд. Ин ягона таҳкурсиест, ки мо метавонем бар он бо амният бино намоем. Он барои ҳама ба қадри кофӣ фарох аст ва ба қадри кофӣ устувор аст, ки вазн ва бори тамоми ҷаҳонро нигоҳ дорад. Ва ба воситаи пайвастагӣ бо Масеҳ, Санги зинда, ҳамаи онҳое ки бар ин таҳкурсӣ бино мекунанд, ба сангҳои зинда мубаддал мегарданд. Бисёр касон бо кӯшишҳои худ тарошида, сайқал дода ва ороста мешаванд; аммо онҳо наметавонанд “сангҳои зинда” гарданд, зеро бо Масеҳ пайваст нестанд. Бе ин пайвастагӣ ҳеҷ кас наметавонад наҷот ёбад. Бе ҳаёти Масеҳ дар мо, мо наметавонем ба тӯфонҳои васваса муқовимат кунем. Амнияти абадии мо ба он вобаста аст, ки бар таҳкурсии устувор бино кунем. Имрӯз анбӯҳи мардум бар таҳкурсие бино мекунанд, ки озмуда нашудааст. Вақте ки борон меборад, ва тӯфон хурӯш мекунад, ва селҳо меоянд, хонаи онҳо фурӯ хоҳад рехт, зеро бар Санги ҷовидонӣ, бар санги кунҷии асосӣ — Масеҳ Исо — бунёд наёфтааст.»</w:t>
      </w:r>
    </w:p>
    <w:p>
      <w:pPr>
        <w:pStyle w:val="ArticleScripture"/>
        <w:jc w:val="left"/>
      </w:pPr>
      <w:r>
        <w:rPr>
          <w:rFonts w:ascii="Times New Roman" w:hAnsi="Times New Roman" w:eastAsia="Times New Roman" w:cs="Times New Roman"/>
        </w:rPr>
        <w:t>«Барои онҳое ки аз калом пешпо мехӯранд, ва ноитоат ҳастанд», Масеҳ санги васваса аст. Аммо «санге ки бинокорон рад карданд, ҳамон сарсанги гӯша шудааст». Монанди он санги радшуда, Масеҳ низ дар рисолати заминии Худ беэътиноӣ ва бадрафториро бардошт. Ӯ «хор шумурда ва аз ҷониби одамон рад карда шуд; марди ғамҳо ва ошнои андӯҳ буд: … Ӯ хор шумурда шуд, ва мо Ӯро ба ҳеҷ гирифтем». Ишаъё 53:3. Аммо замон наздик буд, ки Ӯ ҷалол ёбад. Бо эҳё шудан аз миёни мурдагон Ӯ «Писари Худо бо қудрат» эълон карда мешуд. Румиён 1:4. Дар омадани дуввуми Худ Ӯ ҳамчун Худованди осмон ва замин зоҳир мегардид. Онҳое ки ҳоло қасди маслуб кардани Ӯро доштанд, бузургии Ӯро мешинохтанд. Пеши назари тамоми коинот, он санги радшуда сарсанги гӯша мегардид.</w:t>
      </w:r>
    </w:p>
    <w:p>
      <w:pPr>
        <w:pStyle w:val="ArticleScripture"/>
        <w:jc w:val="left"/>
      </w:pPr>
      <w:r>
        <w:rPr>
          <w:rFonts w:ascii="Times New Roman" w:hAnsi="Times New Roman" w:eastAsia="Times New Roman" w:cs="Times New Roman"/>
        </w:rPr>
        <w:t>«Ва бар ҳар кӣ он фурӯ ояд, вайро майда-майда хоҳад кард.» Он қавме ки Масеҳро рад карданд, дере нагузашта мебоист харобии шаҳри худ ва миллати худро бубинанд. Ҷалоли онҳо шикаста мешуд ва мисли ғуборе пеши бод пароканда мегашт. Ва чӣ буд, ки яҳудиёнро нобуд сохт? Ҳамон санге буд, ки агар бар он бино мекарданд, амнияти онҳо мебуд. Он некуии Худо буд, ки хор шумурда шуд, он адолате буд, ки рад карда шуд, он раҳмате буд, ки сабук гирифта шуд. Одамон худро ба муқобили Худо бархезонданд, ва ҳар он чи метавонист наҷоти онҳо бошад, ба ҳалокати онҳо табдил ёфт. Ҳар он чи Худо барои ҳаёт муқаррар карда буд, онҳо онро барои марг ёфтанд. Дар маслуб кардани Масеҳ аз ҷониби яҳудиён, харобии Ерусалим дар бар гирифта шуда буд. Хуне ки бар Қалворӣ рехта шуд, ҳамон вазне буд, ки онҳоро ба сӯи ҳалокат барои ин ҷаҳон ва барои ҷаҳони оянда фурӯ кашид. Ҳамин тавр дар он рӯзи бузурги ниҳоӣ хоҳад шуд, ҳангоме ки доварӣ бар радкунандагони файзи Худо фурӯ хоҳад омад. Масеҳ, ки барои онҳо санги васваса буд, он гоҳ ба назари онҳо чун кӯҳи интиқомгир падид хоҳад омад. Ҷалоли рӯйи Ӯ, ки барои одилон ҳаёт аст, барои шарирон оташи сӯзонанда хоҳад буд. Азбаски муҳаббат рад карда шуд ва файз хор шумурда шуд, гуноҳкор нобуд хоҳад гашт.</w:t>
      </w:r>
    </w:p>
    <w:p>
      <w:pPr>
        <w:pStyle w:val="ArticleScripture"/>
        <w:jc w:val="left"/>
      </w:pPr>
      <w:r>
        <w:rPr>
          <w:rFonts w:ascii="Times New Roman" w:hAnsi="Times New Roman" w:eastAsia="Times New Roman" w:cs="Times New Roman"/>
        </w:rPr>
        <w:t>«Бо мисолҳои бисёр ва огоҳсозиҳои такрорӣ, Исо нишон дод, ки натиҷаи рад кардани Писари Худо барои яҳудиён чӣ хоҳад буд. Дар ин суханон Ӯ ба ҳамаи касон дар ҳар аср, ки Ӯро ҳамчун Наҷотдиҳандаи худ қабул кардан намехоҳанд, муроҷиат мекард. Ҳар як огоҳӣ барои онҳост. Маъбади таҳқиршуда, писари нофармон, токдорони дурӯғин, бинокорони хордоранда — ҳамаашон ҳамтои худро дар таҷрибаи ҳар як гунаҳкор доранд. Агар ӯ тавба накунад, ҳукме, ки онҳо пешгӯйӣ мекарданд, аз они ӯ хоҳад буд». Desire of Ages, 597–600.</w:t>
      </w:r>
    </w:p>
    <w:p>
      <w:pPr>
        <w:pStyle w:val="ArticleBody"/>
        <w:jc w:val="left"/>
      </w:pPr>
      <w:r>
        <w:rPr>
          <w:rFonts w:ascii="Times New Roman" w:hAnsi="Times New Roman" w:eastAsia="Times New Roman" w:cs="Times New Roman"/>
        </w:rPr>
        <w:t>Мо инро дар мақолаи оянда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Огоҳиҳои Мувозӣ — Рақами Чор</dc:title>
  <dc:subject>Асосҳои имон ва хатари фаромӯшӣ: дарсҳо аз нубувват ва таърих</dc:subject>
  <dc:creator>Jeff Pippenger</dc:creator>
  <cp:keywords/>
  <dc:description>Generated by ArticleDigger from parallel_warnings\04_parallel_warnings.json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