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icrosoft YaHei" w:hAnsi="Microsoft YaHei" w:eastAsia="Microsoft YaHei" w:cs="Microsoft YaHei"/>
        </w:rPr>
        <w:t>第四十节的隐秘历史——第三十四篇</w:t>
      </w:r>
    </w:p>
    <w:p>
      <w:pPr>
        <w:pStyle w:val="ArticleSubtitle"/>
        <w:jc w:val="left"/>
      </w:pPr>
      <w:r>
        <w:rPr>
          <w:rFonts w:ascii="Microsoft YaHei" w:hAnsi="Microsoft YaHei" w:eastAsia="Microsoft YaHei" w:cs="Microsoft YaHei"/>
        </w:rPr>
        <w:t>以西结书（十五）</w:t>
      </w:r>
    </w:p>
    <w:p>
      <w:pPr>
        <w:pStyle w:val="ArticleByline"/>
        <w:jc w:val="left"/>
      </w:pPr>
      <w:r>
        <w:rPr>
          <w:rFonts w:ascii="Microsoft YaHei" w:hAnsi="Microsoft YaHei" w:eastAsia="Microsoft YaHei" w:cs="Microsoft YaHei"/>
        </w:rPr>
        <w:t>Jeff Pippenger</w:t>
      </w:r>
    </w:p>
    <w:p>
      <w:pPr>
        <w:pStyle w:val="ArticleDate"/>
        <w:jc w:val="left"/>
      </w:pPr>
      <w:r>
        <w:rPr>
          <w:rFonts w:ascii="Microsoft YaHei" w:hAnsi="Microsoft YaHei" w:eastAsia="Microsoft YaHei" w:cs="Microsoft YaHei"/>
        </w:rPr>
        <w:t>2026-10-28</w:t>
      </w:r>
    </w:p>
    <w:p>
      <w:pPr>
        <w:pStyle w:val="ArticleHeading"/>
        <w:jc w:val="left"/>
      </w:pPr>
      <w:r>
        <w:rPr>
          <w:rFonts w:ascii="Microsoft YaHei" w:hAnsi="Microsoft YaHei" w:eastAsia="Microsoft YaHei" w:cs="Microsoft YaHei"/>
        </w:rPr>
        <w:t>隐藏的五个月</w:t>
      </w:r>
    </w:p>
    <w:p>
      <w:pPr>
        <w:pStyle w:val="ArticleBody"/>
        <w:jc w:val="left"/>
      </w:pPr>
      <w:r>
        <w:rPr>
          <w:rFonts w:ascii="Microsoft YaHei" w:hAnsi="Microsoft YaHei" w:eastAsia="Microsoft YaHei" w:cs="Microsoft YaHei"/>
        </w:rPr>
        <w:t>1838年,约西亚·利奇将第十节所表征的伊斯兰教信息与第十五节所列明的时间联系起来,加以阐述.当时,这一预言中的某些内容对利奇而言仍是隐藏的.到1840年8月1日,利奇根据1838年以后从“五个月”的信息中向他显明的内容,发表了更为详尽的阐述.1838年,«启示录»第九章中“五个月”这一信息的部分内容对利奇而言仍是隐藏的.五个月这一预言中隐藏的部分,在1840年之前已向利奇揭开了封印;这封印的揭开,使上帝的大能在1840年至1844年间彰显出来.</w:t>
      </w:r>
    </w:p>
    <w:p>
      <w:pPr>
        <w:pStyle w:val="ArticleBody"/>
        <w:jc w:val="left"/>
      </w:pPr>
      <w:r>
        <w:rPr>
          <w:rFonts w:ascii="Microsoft YaHei" w:hAnsi="Microsoft YaHei" w:eastAsia="Microsoft YaHei" w:cs="Microsoft YaHei"/>
        </w:rPr>
        <w:t>第五节所说的五个月,一直隐藏到2026年.当以利沙伯结束五个月的隐居时,马利亚前来与她相会.马利亚使这五个月的隐居与十个童女的比喻相呼应,因为,与以利沙伯不同,马利亚是怀有身孕的童女,而以利沙伯则是一位已过生育年龄却怀有身孕的妇人.这两次降生各有其神迹之处,但马利亚是童女.所有先知都论及世界的末了,而在末后的日子里,马利亚所代表的童女就是那五个聪明的童女,她们组成了第三位天使的非拉铁非运动,人数共计十四万四千.以利沙伯隐居五个月后,在第六个月与马利亚相会.第五节所说的五个月,一直隐藏到2026年.</w:t>
      </w:r>
    </w:p>
    <w:p>
      <w:pPr>
        <w:pStyle w:val="ArticleBody"/>
        <w:jc w:val="left"/>
      </w:pPr>
      <w:r>
        <w:rPr>
          <w:rFonts w:ascii="Microsoft YaHei" w:hAnsi="Microsoft YaHei" w:eastAsia="Microsoft YaHei" w:cs="Microsoft YaHei"/>
        </w:rPr>
        <w:t>约翰出生时,马利亚回到了拿撒勒,撒迦利亚也恢复了说话的能力.马利亚一直与伊利沙伯在一起,直到星期日法令之时门关闭,那时预言便发声.撒迦利亚是那被夺去说话能力的阿拉法路标,也是那在儿子出生时开口说话的俄梅戛路标.撒迦利亚既在开端,也在末了,同时代表第一位和第三位天使.伊利沙伯是第二位天使的信息,而马利亚是半夜呼声的信息,这信息在五个月的隐藏期结束时与伊利沙伯会合.</w:t>
      </w:r>
    </w:p>
    <w:p>
      <w:pPr>
        <w:pStyle w:val="ArticleBody"/>
        <w:jc w:val="left"/>
      </w:pPr>
      <w:r>
        <w:rPr>
          <w:rFonts w:ascii="Microsoft YaHei" w:hAnsi="Microsoft YaHei" w:eastAsia="Microsoft YaHei" w:cs="Microsoft YaHei"/>
        </w:rPr>
        <w:t>挪亚一家八口藏身于方舟中五个月,随后方舟停在亚拉腊山上.半夜的呼声在埃克塞特与第二位天使会合,并一直持续到1844年10月22日门关闭之时,应验了十个童女的比喻.马利亚在埃克塞特与以利沙伯会合,并一直留到约翰出生.</w:t>
      </w:r>
    </w:p>
    <w:p>
      <w:pPr>
        <w:pStyle w:val="ArticleBody"/>
        <w:jc w:val="left"/>
      </w:pPr>
      <w:r>
        <w:rPr>
          <w:rFonts w:ascii="Microsoft YaHei" w:hAnsi="Microsoft YaHei" w:eastAsia="Microsoft YaHei" w:cs="Microsoft YaHei"/>
        </w:rPr>
        <w:t>1838年向李奇隐藏的信息,就是“五个月”的信息.方舟中的八个人表征了这五个月的隐藏;这也就是以利沙伯在怀孕的头五个月里隐藏自己.那是主在1838年用祂的手遮住了这五个月,直到祂将手从这五个月上移开,才使李奇得以在其应验前十天公布那个日期.当这关于五个月的信息在末后的日子被解封时,正如如今所阐明的那样,你便来到了1844年8月12日至17日埃克塞特帐棚大会的那六天;这六天之后再过六十六天,便到1844年10月22日门关闭之时.总共是七十二天,但若将这些日子置于一条预言线上,再将各个路标单独分离出来,就可以看出,由埃克塞特帐棚大会所表征的围城之兆历时六天,随后再过六十六天,便到门关闭之时.从预言的角度看,这段时期被表征为6 6 6.</w:t>
      </w:r>
    </w:p>
    <w:p>
      <w:pPr>
        <w:pStyle w:val="ArticleBody"/>
        <w:jc w:val="left"/>
      </w:pPr>
      <w:r>
        <w:rPr>
          <w:rFonts w:ascii="Microsoft YaHei" w:hAnsi="Microsoft YaHei" w:eastAsia="Microsoft YaHei" w:cs="Microsoft YaHei"/>
        </w:rPr>
        <w:t>埃克塞特至10月22日这一时期所表征的围城历史,是以该隐一系第六代的拉麦为代表的.五个月的预言启封后不久,门便关闭.门是逐步关闭的,但对复临运动而言,这一过程始于9·11,并在围城时结束.围城来临时,你们将显明该隐一系的拉麦或塞特一系的拉麦的品格.在这段历史中,该隐一系的拉麦所对应的数字是6 6 6,而塞特一系的拉麦和得胜的教会所对应的数字是7 7 7.</w:t>
      </w:r>
    </w:p>
    <w:p>
      <w:pPr>
        <w:pStyle w:val="ArticleBody"/>
        <w:jc w:val="left"/>
      </w:pPr>
      <w:r>
        <w:rPr>
          <w:rFonts w:ascii="Microsoft YaHei" w:hAnsi="Microsoft YaHei" w:eastAsia="Microsoft YaHei" w:cs="Microsoft YaHei"/>
        </w:rPr>
        <w:t>当人们质问复临信徒为何对有关纳什维尔火球的警告保持沉默时,一系列事件将复临运动推入公众视野,两位拉麦以及666或777所代表的两种品格也随之开始显明.这场愈演愈烈的争论,成为即将来临的星期日法令使门关闭之前的一种直观展示,正如动物沿坡道进入方舟的情景所预表的那样.这一不断增强的直观警告,也由以利亚在迦密山上的经历以及1844年的米勒派运动所预表.</w:t>
      </w:r>
    </w:p>
    <w:p>
      <w:pPr>
        <w:pStyle w:val="ArticleHeading"/>
        <w:jc w:val="left"/>
      </w:pPr>
      <w:r>
        <w:rPr>
          <w:rFonts w:ascii="Microsoft YaHei" w:hAnsi="Microsoft YaHei" w:eastAsia="Microsoft YaHei" w:cs="Microsoft YaHei"/>
        </w:rPr>
        <w:t>围城的预言性结构</w:t>
      </w:r>
    </w:p>
    <w:p>
      <w:pPr>
        <w:pStyle w:val="ArticleBody"/>
        <w:jc w:val="left"/>
      </w:pPr>
      <w:r>
        <w:rPr>
          <w:rFonts w:ascii="Microsoft YaHei" w:hAnsi="Microsoft YaHei" w:eastAsia="Microsoft YaHei" w:cs="Microsoft YaHei"/>
        </w:rPr>
        <w:t>以城邑被毁告终的围城,其预言结构代表着一段以一个征兆为开端、又以一个征兆为终点的时期.它既代表一段时期,也代表一个时间点.像的形成时期以多种方式得到表征.在蒙默示的证言中,凡属此类的预言结构,都预表着以兽的印记为高潮的兽像考验时期.</w:t>
      </w:r>
    </w:p>
    <w:p>
      <w:pPr>
        <w:pStyle w:val="ArticleScripture"/>
        <w:jc w:val="left"/>
      </w:pPr>
      <w:r>
        <w:rPr>
          <w:rFonts w:ascii="Microsoft YaHei" w:hAnsi="Microsoft YaHei" w:eastAsia="Microsoft YaHei" w:cs="Microsoft YaHei"/>
        </w:rPr>
        <w:t>“‘兽像’代表背道的新教的一种形态;当新教各教会为强制推行其教义而寻求世俗政权的援助时,这种形态便会形成.‘兽的印记’仍有待界定.”«善恶之争»,第445页.</w:t>
      </w:r>
    </w:p>
    <w:p>
      <w:pPr>
        <w:pStyle w:val="ArticleBody"/>
        <w:jc w:val="left"/>
      </w:pPr>
      <w:r>
        <w:rPr>
          <w:rFonts w:ascii="Microsoft YaHei" w:hAnsi="Microsoft YaHei" w:eastAsia="Microsoft YaHei" w:cs="Microsoft YaHei"/>
        </w:rPr>
        <w:t>这段时期代表着为兽所立、仿照兽而造的像的形成过程;当那逐渐形成的像发展到能够开口颁布星期日法令的地步时,兽的印记便会被强制推行.耶路撒冷被毁时,尼布甲尼撒预表了罗马权威的印记.无论是巴比伦还是罗马,围城的模式都在凸显末后的北方王.奥尔汗从1333年至1337年的围城,以及从1449年7月27日至1453年君士坦丁堡被围的四年时间,不仅预表了从1840年8月11日至1844年10月22日的这段时期,而且这些围城事件也凸显了伊斯兰教作为«圣经»预言中东风之子的角色.北方王（巴比伦或罗马）与东风这一主题,就是«但以理书»11:45中所说的“从东方和北方来的消息”.</w:t>
      </w:r>
    </w:p>
    <w:p>
      <w:pPr>
        <w:pStyle w:val="ArticleScripture"/>
        <w:jc w:val="left"/>
      </w:pPr>
      <w:r>
        <w:rPr>
          <w:rFonts w:ascii="Microsoft YaHei" w:hAnsi="Microsoft YaHei" w:eastAsia="Microsoft YaHei" w:cs="Microsoft YaHei"/>
        </w:rPr>
        <w:t>但从东方和北方必有消息扰乱他,他就大发烈怒出去,要将多人杀灭净尽.但以理书11:44.</w:t>
      </w:r>
    </w:p>
    <w:p>
      <w:pPr>
        <w:pStyle w:val="ArticleBody"/>
        <w:jc w:val="left"/>
      </w:pPr>
      <w:r>
        <w:rPr>
          <w:rFonts w:ascii="Microsoft YaHei" w:hAnsi="Microsoft YaHei" w:eastAsia="Microsoft YaHei" w:cs="Microsoft YaHei"/>
        </w:rPr>
        <w:t>自1449年7月27日至1453年君士坦丁堡之围的这四年,不仅标示了一个四年的时期;若将约翰·巴列奥略于1448年去世一事一并计入,这一时期也可表示为五年.</w:t>
      </w:r>
    </w:p>
    <w:p>
      <w:pPr>
        <w:pStyle w:val="ArticleBody"/>
        <w:jc w:val="left"/>
      </w:pPr>
      <w:r>
        <w:rPr>
          <w:rFonts w:ascii="Microsoft YaHei" w:hAnsi="Microsoft YaHei" w:eastAsia="Microsoft YaHei" w:cs="Microsoft YaHei"/>
        </w:rPr>
        <w:t>这一结构在耶路撒冷的两次毁灭和挪亚的洪水中都有所体现.它也见于埃及的第一次逾越节：当时,灭命的天使必须看见门上血的记号;这将法老和他的大军引入海中,直到东风被释放,海水关闭了通往应许之地的入口之门.这一结构存在于别迦摩教会的阿拉法历史中,即从313年到321年首道星期日法令颁布的时期;也存在于别迦摩的俄梅戛历史中,即从533年查士丁尼颁布法令到538年星期日法令颁布的时期.对别迦摩而言,记号或为敕令,或为法令,但两者都开启了一段以星期日法令为终点的时期.</w:t>
      </w:r>
    </w:p>
    <w:p>
      <w:pPr>
        <w:pStyle w:val="ArticleBody"/>
        <w:jc w:val="left"/>
      </w:pPr>
      <w:r>
        <w:rPr>
          <w:rFonts w:ascii="Microsoft YaHei" w:hAnsi="Microsoft YaHei" w:eastAsia="Microsoft YaHei" w:cs="Microsoft YaHei"/>
        </w:rPr>
        <w:t>以西结所记耶路撒冷围城与毁灭的时间结构,是从公元前587年至公元前586年：按首尾均计的方式计算为两年,按首尾不并计的方式计算则为1.5年.预言中的另一围城结构,同样体现于帕尼翁战役的两年时间跨度中;这场战役包括公元前200年的帕尼翁之战和公元前198年的西顿围城战.以西结妻子之死,与拉麦之死、约翰·巴列奥略之死及帕尼翁之战相对应.</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icrosoft YaHei" w:hAnsi="Microsoft YaHei" w:eastAsia="Microsoft YaHei" w:cs="Microsoft YaHe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icrosoft YaHei" w:hAnsi="Microsoft YaHei" w:eastAsia="Microsoft YaHei" w:cs="Microsoft YaHei"/>
      <w:b/>
      <w:sz w:val="40"/>
    </w:rPr>
  </w:style>
  <w:style w:type="paragraph" w:customStyle="1" w:styleId="ArticleSubtitle">
    <w:name w:val="Article Subtitle"/>
    <w:basedOn w:val="Normal"/>
    <w:pPr>
      <w:spacing w:before="0" w:after="160"/>
      <w:ind w:left="0" w:right="0" w:firstLine="0"/>
      <w:jc w:val="left"/>
    </w:pPr>
    <w:rPr>
      <w:rFonts w:ascii="Microsoft YaHei" w:hAnsi="Microsoft YaHei" w:eastAsia="Microsoft YaHei" w:cs="Microsoft YaHei"/>
      <w:i/>
      <w:sz w:val="28"/>
    </w:rPr>
  </w:style>
  <w:style w:type="paragraph" w:customStyle="1" w:styleId="ArticleByline">
    <w:name w:val="Article Byline"/>
    <w:basedOn w:val="Normal"/>
    <w:pPr>
      <w:spacing w:before="0" w:after="40"/>
      <w:jc w:val="left"/>
    </w:pPr>
    <w:rPr>
      <w:rFonts w:ascii="Microsoft YaHei" w:hAnsi="Microsoft YaHei" w:eastAsia="Microsoft YaHei" w:cs="Microsoft YaHei"/>
      <w:i/>
      <w:sz w:val="22"/>
    </w:rPr>
  </w:style>
  <w:style w:type="paragraph" w:customStyle="1" w:styleId="ArticleDate">
    <w:name w:val="Article Date"/>
    <w:basedOn w:val="Normal"/>
    <w:pPr>
      <w:spacing w:before="0" w:after="280"/>
      <w:jc w:val="left"/>
    </w:pPr>
    <w:rPr>
      <w:rFonts w:ascii="Microsoft YaHei" w:hAnsi="Microsoft YaHei" w:eastAsia="Microsoft YaHei" w:cs="Microsoft YaHei"/>
      <w:sz w:val="20"/>
    </w:rPr>
  </w:style>
  <w:style w:type="paragraph" w:customStyle="1" w:styleId="ArticleHeading">
    <w:name w:val="Article Heading"/>
    <w:basedOn w:val="Heading2"/>
    <w:pPr>
      <w:spacing w:before="240" w:after="120"/>
      <w:jc w:val="left"/>
    </w:pPr>
    <w:rPr>
      <w:rFonts w:ascii="Microsoft YaHei" w:hAnsi="Microsoft YaHei" w:eastAsia="Microsoft YaHei" w:cs="Microsoft YaHei"/>
      <w:b/>
      <w:sz w:val="26"/>
    </w:rPr>
  </w:style>
  <w:style w:type="paragraph" w:customStyle="1" w:styleId="ArticleBody">
    <w:name w:val="Article Body"/>
    <w:basedOn w:val="Normal"/>
    <w:pPr>
      <w:spacing w:before="0" w:after="160"/>
      <w:jc w:val="left"/>
    </w:pPr>
    <w:rPr>
      <w:rFonts w:ascii="Microsoft YaHei" w:hAnsi="Microsoft YaHei" w:eastAsia="Microsoft YaHei" w:cs="Microsoft YaHei"/>
      <w:sz w:val="24"/>
    </w:rPr>
  </w:style>
  <w:style w:type="paragraph" w:customStyle="1" w:styleId="ArticleScripture">
    <w:name w:val="Article Scripture"/>
    <w:basedOn w:val="Normal"/>
    <w:pPr>
      <w:spacing w:before="0" w:after="160"/>
      <w:ind w:left="504" w:right="144"/>
      <w:jc w:val="left"/>
    </w:pPr>
    <w:rPr>
      <w:rFonts w:ascii="Microsoft YaHei" w:hAnsi="Microsoft YaHei" w:eastAsia="Microsoft YaHei" w:cs="Microsoft YaHei"/>
      <w:i w:val="0"/>
      <w:sz w:val="23"/>
    </w:rPr>
  </w:style>
  <w:style w:type="paragraph" w:customStyle="1" w:styleId="ArticleQuote">
    <w:name w:val="Article Quote"/>
    <w:basedOn w:val="Normal"/>
    <w:pPr>
      <w:spacing w:before="0" w:after="160"/>
      <w:ind w:left="648" w:right="288"/>
      <w:jc w:val="left"/>
    </w:pPr>
    <w:rPr>
      <w:rFonts w:ascii="Microsoft YaHei" w:hAnsi="Microsoft YaHei" w:eastAsia="Microsoft YaHei" w:cs="Microsoft YaHei"/>
      <w:i/>
      <w:sz w:val="23"/>
    </w:rPr>
  </w:style>
  <w:style w:type="paragraph" w:customStyle="1" w:styleId="ArticleListItem">
    <w:name w:val="Article List Item"/>
    <w:basedOn w:val="Normal"/>
    <w:pPr>
      <w:spacing w:before="0" w:after="80"/>
      <w:ind w:left="576" w:right="0" w:hanging="259"/>
      <w:jc w:val="left"/>
    </w:pPr>
    <w:rPr>
      <w:rFonts w:ascii="Microsoft YaHei" w:hAnsi="Microsoft YaHei" w:eastAsia="Microsoft YaHei" w:cs="Microsoft YaHe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第四十节的隐秘历史——第三十四篇</dc:title>
  <dc:subject>以西结书（十五）</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