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Le huitième est issu des sept — numéro trois</w:t>
      </w:r>
    </w:p>
    <w:p>
      <w:pPr>
        <w:pStyle w:val="ArticleSubtitle"/>
        <w:jc w:val="left"/>
      </w:pPr>
      <w:r>
        <w:rPr>
          <w:rFonts w:ascii="Arial" w:hAnsi="Arial" w:eastAsia="Arial" w:cs="Arial"/>
        </w:rPr>
        <w:t>Даниил хоёр</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Ang paksa na ating sisikaping lutasin sa artikulong ito ay kung paano nagkakatugma ang unang pagbanggit sa mga kaharian ng hula sa Biblia sa Daniel kabanata dalawa at ang huling pagbanggit sa mga kaharian ng hula sa Biblia sa Apocalipsis disi-siyete. Nais kong magbangon ng ilang mga katanungan hinggil sa kung ano nga ba ang tunay na tinutukoy sa larawan ni Nabucodonosor at sa paninindigan ng mga pionero, na ang kanilang kasaysayan ang kumakatawan sa panahong tatama ang bato sa mga paa ng larawan.</w:t>
      </w:r>
    </w:p>
    <w:p>
      <w:pPr>
        <w:pStyle w:val="ArticleBody"/>
        <w:jc w:val="left"/>
      </w:pPr>
      <w:r>
        <w:rPr>
          <w:rFonts w:ascii="Times New Roman" w:hAnsi="Times New Roman" w:eastAsia="Times New Roman" w:cs="Times New Roman"/>
        </w:rPr>
        <w:t>Sœur White indique que nous étions parvenus au point où « l’œuvre sacrée de Dieu est représentée par les pieds de la statue, dans lesquels le fer était mêlé à l’argile fangeuse », ce qu’elle décrit en outre comme le « mélange de l’art ecclésiastique et de l’art politique ».</w:t>
      </w:r>
    </w:p>
    <w:p>
      <w:pPr>
        <w:pStyle w:val="ArticleScripture"/>
        <w:jc w:val="left"/>
      </w:pPr>
      <w:r>
        <w:rPr>
          <w:rFonts w:ascii="Times New Roman" w:hAnsi="Times New Roman" w:eastAsia="Times New Roman" w:cs="Times New Roman"/>
        </w:rPr>
        <w:t>«نحن قد بلغنا زمنًا يُمثَّل فيه عمل الله المقدس بقدمي التمثال اللتين اختلط فيهما الحديد بالخزف. إن لله شعبًا، شعبًا مختارًا، يجب أن يكون تمييزه مقدسًا، وألا يصير دنسًا بوضع الخشب والعشب والقش على الأساس. وكل نفس مخلصة لوصايا الله سترى أن السمة المميِّزة لإيماننا هي سبت اليوم السابع. ولو أن الحكومة أكرمت السبت كما أمر الله، لوقفت في قوة الله وفي الدفاع عن الإيمان المُسلَّم مرة للقديسين. ولكن رجال الدولة سيعضدون السبت الزائف، ويمزجون إيمانهم الديني بمراعاة هذا الوليد للبابوية، جاعلين إياه فوق السبت الذي قدسه الرب وباركه، وأفرزه للإنسان ليحفظه مقدسًا، علامةً بينه وبين شعبه إلى ألف جيل. وإن امتزاج الحِيَل الكنسية بتدابير الدولة يُمثَّل بالحديد والخزف. وهذا الاتحاد يُضعِف كل قوة الكنائس. وإن إضفاء سلطة الدولة على الكنيسة هذا سيجلب نتائج شريرة. لقد أوشك الناس أن يتجاوزوا حد احتمال الله. فقد أودعوا قوتهم في السياسة، واتحدوا مع البابوية. ولكن سيأتي وقت يعاقب الله فيه الذين أبطلوا شريعته، ويرتد عملهم الشرير عليهم». التفسير الكتابي للأدفنتست السبتيين، المجلد 4، 1168.</w:t>
      </w:r>
    </w:p>
    <w:p>
      <w:pPr>
        <w:pStyle w:val="ArticleBody"/>
        <w:jc w:val="left"/>
      </w:pPr>
      <w:r>
        <w:rPr>
          <w:rFonts w:ascii="Times New Roman" w:hAnsi="Times New Roman" w:eastAsia="Times New Roman" w:cs="Times New Roman"/>
        </w:rPr>
        <w:t>Le temps auquel nous sommes parvenus, lorsque l’œuvre sacrée de Dieu se mêle à l’ecclésiastisme et à la politique d’État, désigne une période de temps progressive. Elle dit que ce mélange « affaiblit toute la puissance des Églises », qu’il « produira de mauvais résultats », et que « le temps viendra où Dieu châtiera ceux qui ont annulé sa loi ».</w:t>
      </w:r>
    </w:p>
    <w:p>
      <w:pPr>
        <w:pStyle w:val="ArticleBody"/>
        <w:jc w:val="left"/>
      </w:pPr>
      <w:r>
        <w:rPr>
          <w:rFonts w:ascii="Times New Roman" w:hAnsi="Times New Roman" w:eastAsia="Times New Roman" w:cs="Times New Roman"/>
        </w:rPr>
        <w:t>L’union de l’Église et de l’État, qui affaiblit la puissance des Églises, décrit l’Église de Pergame, où l’association de l’art ecclésiastique et de l’art politique représentait l’apostasie qui précède la révélation de l’homme de péché. Pergame et l’empereur qui symbolise le compromis entre le christianisme et l’idolâtrie apparaissent dans le quatrième royaume de Daniel 2. Ce compromis est représenté dans Daniel 2 par l’emploi du mot « argile ».</w:t>
      </w:r>
    </w:p>
    <w:p>
      <w:pPr>
        <w:pStyle w:val="ArticleScripture"/>
        <w:jc w:val="left"/>
      </w:pPr>
      <w:r>
        <w:rPr>
          <w:rFonts w:ascii="Times New Roman" w:hAnsi="Times New Roman" w:eastAsia="Times New Roman" w:cs="Times New Roman"/>
        </w:rPr>
        <w:t>Wena, we hosi, u vone, kutani waswivo, xifaniso lexikulu. Xifaniso lexi lexikulu, lexi ku vangama ka xona a ku hlamarisa, a xi yime emahlweni ka wena; kutani xivumbeko xa xona a xi chavisa. Nhloko ya xifaniso lexi a yi endliwile hi nsuku lowunene, xifuva xa xona ni mavoko ya xona hi silivhere, khwiri ra xona ni swirho swa xona hi koporo, Milenge ya xona hi nsimbi, milenge ya matsindza ya xona yin’wana hi nsimbi, yin’wana hi vumba. U vone ku fikela loko ribye ri tsemiwile ri huma handle ka mavoko, leri nga ba xifaniso emilengeni ya matsindza ya xona leyi a yi ri ya nsimbi ni vumba, kutani ri yi pfindlanya yi va swiphemu. Daniel 2:31–34.</w:t>
      </w:r>
    </w:p>
    <w:p>
      <w:pPr>
        <w:pStyle w:val="ArticleBody"/>
        <w:jc w:val="left"/>
      </w:pPr>
      <w:r>
        <w:rPr>
          <w:rFonts w:ascii="Times New Roman" w:hAnsi="Times New Roman" w:eastAsia="Times New Roman" w:cs="Times New Roman"/>
        </w:rPr>
        <w:t>À mesure que l’interprétation de Daniel se poursuit, il n’est plus question d’« argile », mais elle est devenue sale, ou une « argile fangeuse ».</w:t>
      </w:r>
    </w:p>
    <w:p>
      <w:pPr>
        <w:pStyle w:val="ArticleScripture"/>
        <w:jc w:val="left"/>
      </w:pPr>
      <w:r>
        <w:rPr>
          <w:rFonts w:ascii="Times New Roman" w:hAnsi="Times New Roman" w:eastAsia="Times New Roman" w:cs="Times New Roman"/>
        </w:rPr>
        <w:t>Ay samakatuwid, yamang iyong nakita ang mga paa at mga daliri sa paa, na bahagi ay luwad ng magpapalayok at bahagi ay bakal, ang kaharian ay mahahati; ngunit magkakaroon doon ng lakas ng bakal, sapagkat iyong nakita ang bakal na nahalo sa malagkit na luwad. Daniel 2:41.</w:t>
      </w:r>
    </w:p>
    <w:p>
      <w:pPr>
        <w:pStyle w:val="ArticleBody"/>
        <w:jc w:val="left"/>
      </w:pPr>
      <w:r>
        <w:rPr>
          <w:rFonts w:ascii="Times New Roman" w:hAnsi="Times New Roman" w:eastAsia="Times New Roman" w:cs="Times New Roman"/>
        </w:rPr>
        <w:t>Die reine Tonerde, die des Töpfers Ton war, verwandelt sich in Schlammton. Gott ist der göttliche Töpfer, und sein Werk ist niemals schlammig.</w:t>
      </w:r>
    </w:p>
    <w:p>
      <w:pPr>
        <w:pStyle w:val="ArticleScripture"/>
        <w:jc w:val="left"/>
      </w:pPr>
      <w:r>
        <w:rPr>
          <w:rFonts w:ascii="Times New Roman" w:hAnsi="Times New Roman" w:eastAsia="Times New Roman" w:cs="Times New Roman"/>
        </w:rPr>
        <w:t>Maar nu, o HEERE, Gij zijt onze Vader; wij zijn het leem, en Gij onze Pottenbakker; en wij allen zijn het werk Uwer hand. Jesaja 64:8.</w:t>
      </w:r>
    </w:p>
    <w:p>
      <w:pPr>
        <w:pStyle w:val="ArticleBody"/>
        <w:jc w:val="left"/>
      </w:pPr>
      <w:r>
        <w:rPr>
          <w:rFonts w:ascii="Times New Roman" w:hAnsi="Times New Roman" w:eastAsia="Times New Roman" w:cs="Times New Roman"/>
        </w:rPr>
        <w:t>Dans l’histoire de la Rome païenne, l’Église de Smyrne était de l’argile pure. Dans l’histoire de Pergame, qui est le quatrième royaume de Daniel 2, l’argile se transforme en argile fangeuse. Ce qui est d’abord mentionné dans le passage simplement comme « argile », puis ensuite comme « argile du potier », devient « argile fangeuse », à mesure que l’interprétation se poursuit. C’est à Pergame que ce changement s’est accompli afin de préparer la voie à Thyatire, ou à la Rome papale. La transformation de « l’argile » en « argile fangeuse » est l’apostasie qui prépare la voie à Thyatire, que Paul désigne comme « l’apostasie préalable » dans 2 Thessaloniciens.</w:t>
      </w:r>
    </w:p>
    <w:p>
      <w:pPr>
        <w:pStyle w:val="ArticleBody"/>
        <w:jc w:val="left"/>
      </w:pPr>
      <w:r>
        <w:rPr>
          <w:rFonts w:ascii="Times New Roman" w:hAnsi="Times New Roman" w:eastAsia="Times New Roman" w:cs="Times New Roman"/>
        </w:rPr>
        <w:t>Les millérites ne pouvaient voir au-delà du quatrième royaume, celui de Rome, et s’attendaient à ce que la seconde venue du Christ fût le prochain événement prophétique, car la pierre qui frappe les pieds de la statue représente la seconde venue. Mais le Christ a-t-il établi un royaume en 1798 ? Il est bien entré dans le lieu très saint le 22 octobre 1844 pour recevoir un royaume, mais celui-ci fut-il établi à ce moment-là ?</w:t>
      </w:r>
    </w:p>
    <w:p>
      <w:pPr>
        <w:pStyle w:val="ArticleBody"/>
        <w:jc w:val="left"/>
      </w:pPr>
      <w:r>
        <w:rPr>
          <w:rFonts w:ascii="Times New Roman" w:hAnsi="Times New Roman" w:eastAsia="Times New Roman" w:cs="Times New Roman"/>
        </w:rPr>
        <w:t>Двумя этих двух вопросов является то, что Христос не установил Своё вечное царство в 1798 году. Ответ на второй вопрос — установил ли Христос Своё вечное царство 22 октября 1844 года — также отрицательный.</w:t>
      </w:r>
    </w:p>
    <w:p>
      <w:pPr>
        <w:pStyle w:val="ArticleBody"/>
        <w:jc w:val="left"/>
      </w:pPr>
      <w:r>
        <w:rPr>
          <w:rFonts w:ascii="Times New Roman" w:hAnsi="Times New Roman" w:eastAsia="Times New Roman" w:cs="Times New Roman"/>
        </w:rPr>
        <w:t>Je, kulikuwa na ufalme uliosimamishwa wakati wa Roma ya kipagani? Nauliza hili kwa sababu waanzilishi walielewa ufalme wa nne kuwa ni Roma ya kipagani na ya kipapa, jambo linalotambulisha mwaka 1798 kuwa ndiyo hitimisho la ufalme wa nne ambapo Kristo angesimamisha ufalme wa milele. Lakini kitabu cha Ufunuo kinatambulisha falme nne zinazofuata Roma ya kipagani.</w:t>
      </w:r>
    </w:p>
    <w:p>
      <w:pPr>
        <w:pStyle w:val="ArticleBody"/>
        <w:jc w:val="left"/>
      </w:pPr>
      <w:r>
        <w:rPr>
          <w:rFonts w:ascii="Times New Roman" w:hAnsi="Times New Roman" w:eastAsia="Times New Roman" w:cs="Times New Roman"/>
        </w:rPr>
        <w:t>Hi sapaan kaopat a pagarian ti landok idi Daniel dua ket mangitakder laeng iti pagan a Roma, a ti pannakikompromiso ni Constantino ket naipakita babaen iti barro a nabalbaliw a nagbalin a narigat a barro, nangipasdek kadi ni Cristo iti maysa a pagarian iti dayta a pakasaritaan? Ti sungbat ket wen. Iti kruz, nga isu ti pakasaritaan ti Pergamo, saan a ti Tiatira, impasdek ni Cristo ti Pagarianna ti “parabur.” Adda maysa nga agnanayon a pagarian a naipasdek iti kruz, ket ti trono dayta a pagarian ket mangitipiko iti maysa a trono a maipasdek iti panawen ti maudi a tudo. Dayta a trono ti maudi a tudo ket itakderna ti Pagarianna ti “dayag.”</w:t>
      </w:r>
    </w:p>
    <w:p>
      <w:pPr>
        <w:pStyle w:val="ArticleScripture"/>
        <w:jc w:val="left"/>
      </w:pPr>
      <w:r>
        <w:rPr>
          <w:rFonts w:ascii="Times New Roman" w:hAnsi="Times New Roman" w:eastAsia="Times New Roman" w:cs="Times New Roman"/>
        </w:rPr>
        <w:t>Malunga ni ngumakiryo corwa n’abigishwa mw’izina ry’Umwami cari ukuri mu buryo bwose, kandi ivyabaye vyerekanwagako vyari biriko birashika no muri ico gihe. Ubutumwa bwabo bwari ubu: “Igihe kirashitse, ubwami bw’Imana buri hafi.” Igihe “ca wa mwanya” kirangiye—ari co vya ndwi mirongo itandatu n’icenda vya Daniyeli 9, vyari gushika kuri Mesiya, “Uwo Yasizwe”—Kristo yari amaze kwakira ugusigwa kwa Mpwemu inyuma y’umubatizo wiwe yakozwe na Yohana i Yorodani. Kandi “ubwami bw’Imana” bari baratangaje ko buri hafi bwashinzwe n’urupfu rwa Kristo. Ubwo bwami ntibwari, nk’uko bari barigishijwe kuvyizera, ubwami bwo kw’isi. Kandi si na bwa bwami bwo muri kazoza, butazopfa, buzoshirwaho igihe “ubwami n’ubutware n’ubuninahazwa bw’ubwami buri munsi y’ijuru ryose buzohabwa abantu b’aberanda b’Isumbavyose;” ubwo bwami bw’ibihe bidashira, muri bwo “ingoma zose zizomukorera kandi zimwumvire.” Daniyeli 7:27. Nk’uko bukoreshwa muri Bibiliya, imvugo “ubwami bw’Imana” ikoreshwa kwerekana ubwami bw’ubuntu hamwe n’ubwami bw’ubuninahazwa. Ubwami bw’ubuntu bwerekanwa na Pawulo mu Rwandiko rw’Abaheburayo. Inyuma yo kwerekeza kuri Kristo, umuhuza w’impuhwe “yumva intimba z’intege nke zacu,” intumwa iravuga iti: “Nuko rero twegere intebe y’ubuntu dushize amanga, kugira ngo duhabwe imbabazi kandi turonke ubuntu bwo kudutabara mu gihe gikwiye.” Abaheburayo 4:15, 16. Intebe y’ubuntu igereranya ubwami bw’ubuntu; kuko kubaho kw’intebe bisobanura kubaho kw’ubwami. Mu migani yiwe myinshi Kristo akoresha imvugo “ubwami bwo mw’ijuru” kugira yerekane igikorwa c’ubuntu bw’Imana mu mitima y’abantu.</w:t>
      </w:r>
    </w:p>
    <w:p>
      <w:pPr>
        <w:pStyle w:val="ArticleScripture"/>
        <w:jc w:val="left"/>
      </w:pPr>
      <w:r>
        <w:rPr>
          <w:rFonts w:ascii="Times New Roman" w:hAnsi="Times New Roman" w:eastAsia="Times New Roman" w:cs="Times New Roman"/>
        </w:rPr>
        <w:t>“Xubnooyinka ammaantu sidaas daraaddeed waxay ka dhigan yihiin boqortooyada ammaanta; boqortooyadanna waxaa loola jeedaa ereyada Badbaadiyaha ee leh: ‘Marka Wiilka Aadanahu ku yimaado ammaantiisa, oo malaa’igta quduuska ah oo dhammi ay la yimaadaan, markaasuu ku fadhiisan doonaa carshiga ammaantiisa; oo quruumaha oo dhammuna hortiisa ayaa lagu soo ururin doonaa.’ Matayos 25:31, 32. Boqortooyadani weli waa mustaqbal. Lama dhisi doono ilaa imaatinka labaad ee Masiixa.”</w:t>
      </w:r>
    </w:p>
    <w:p>
      <w:pPr>
        <w:pStyle w:val="ArticleScripture"/>
        <w:jc w:val="left"/>
      </w:pPr>
      <w:r>
        <w:rPr>
          <w:rFonts w:ascii="Times New Roman" w:hAnsi="Times New Roman" w:eastAsia="Times New Roman" w:cs="Times New Roman"/>
        </w:rPr>
        <w:t>“Ukumkani bobabalo wamiselwa kwangoko emva kokuwa komntu, xa kwaqulunqwa icebo lokukhululwa kolu hlanga lunetyala. Ngelo xesha wawukho enjengonjongo nangengesithembiso sikaThixo; yaye ngokholo, abantu babenokuba ngabemi bawo. Noko ke, awuzange umiswe ngokwenene de kwaba sekufeni kukaKristu. Kwanasemva kokungena kwakhe emsebenzini waKhe wasemhlabeni, uMsindisi, edinwe kukulukhuni nangenkohlakalo yokungabuleli kwabantu, ngewayehlehla kwidini laseKalvari. EGetsemani indebe yentlungu yayingcangcazela esandleni saKhe. Kwanangoko ngewayesule ukubila kwegazi ebunzi laKhe aze alushiye uhlanga olunetyala lutshabalale esonweni salo. Ukuba wayekwenze oko, ngekungekho kukhululwa kwabantu abawileyo. Kodwa xa uMsindisi wanikela ngobomi baKhe, waza ngomoya waKhe wokugqibela wamemelela wathi, ‘Kugqityiwe,’ ngoko ukuzaliseka kwecebo lokukhululwa kwaqinisekiswa. Isithembiso losindiso esenziwa kweso sibini sonayo e-Eden saqinisekiswa. Ukumkani wobabalo, owawukade ukho ngesithembiso sikaThixo, ngoko wamiswa.” The Great Controversy, 347.</w:t>
      </w:r>
    </w:p>
    <w:p>
      <w:pPr>
        <w:pStyle w:val="ArticleBody"/>
        <w:jc w:val="left"/>
      </w:pPr>
      <w:r>
        <w:rPr>
          <w:rFonts w:ascii="Ebrima" w:hAnsi="Ebrima" w:eastAsia="Ebrima" w:cs="Ebrima"/>
        </w:rPr>
        <w:t>ⴰⵍⵎⴰⵙⵉⵃ</w:t>
      </w:r>
      <w:r>
        <w:rPr>
          <w:rFonts w:ascii="Times New Roman" w:hAnsi="Times New Roman" w:eastAsia="Times New Roman" w:cs="Times New Roman"/>
        </w:rPr>
        <w:t xml:space="preserve"> </w:t>
      </w:r>
      <w:r>
        <w:rPr>
          <w:rFonts w:ascii="Ebrima" w:hAnsi="Ebrima" w:eastAsia="Ebrima" w:cs="Ebrima"/>
        </w:rPr>
        <w:t>ⵉⵙⵙⴱⴷⴷ</w:t>
      </w:r>
      <w:r>
        <w:rPr>
          <w:rFonts w:ascii="Times New Roman" w:hAnsi="Times New Roman" w:eastAsia="Times New Roman" w:cs="Times New Roman"/>
        </w:rPr>
        <w:t xml:space="preserve"> </w:t>
      </w:r>
      <w:r>
        <w:rPr>
          <w:rFonts w:ascii="Ebrima" w:hAnsi="Ebrima" w:eastAsia="Ebrima" w:cs="Ebrima"/>
        </w:rPr>
        <w:t>ⵜⴰⴳⵍⴷⵉⵜ</w:t>
      </w:r>
      <w:r>
        <w:rPr>
          <w:rFonts w:ascii="Times New Roman" w:hAnsi="Times New Roman" w:eastAsia="Times New Roman" w:cs="Times New Roman"/>
        </w:rPr>
        <w:t xml:space="preserve"> </w:t>
      </w:r>
      <w:r>
        <w:rPr>
          <w:rFonts w:ascii="Ebrima" w:hAnsi="Ebrima" w:eastAsia="Ebrima" w:cs="Ebrima"/>
        </w:rPr>
        <w:t>ⵏⵏⴻⵙ</w:t>
      </w:r>
      <w:r>
        <w:rPr>
          <w:rFonts w:ascii="Times New Roman" w:hAnsi="Times New Roman" w:eastAsia="Times New Roman" w:cs="Times New Roman"/>
        </w:rPr>
        <w:t xml:space="preserve"> </w:t>
      </w:r>
      <w:r>
        <w:rPr>
          <w:rFonts w:ascii="Ebrima" w:hAnsi="Ebrima" w:eastAsia="Ebrima" w:cs="Ebrima"/>
        </w:rPr>
        <w:t>ⵜⴰⵎⴻⵣⴳⴳⵉⴷⴰ</w:t>
      </w:r>
      <w:r>
        <w:rPr>
          <w:rFonts w:ascii="Times New Roman" w:hAnsi="Times New Roman" w:eastAsia="Times New Roman" w:cs="Times New Roman"/>
        </w:rPr>
        <w:t xml:space="preserve"> </w:t>
      </w:r>
      <w:r>
        <w:rPr>
          <w:rFonts w:ascii="Ebrima" w:hAnsi="Ebrima" w:eastAsia="Ebrima" w:cs="Ebrima"/>
        </w:rPr>
        <w:t>ⴳ</w:t>
      </w:r>
      <w:r>
        <w:rPr>
          <w:rFonts w:ascii="Times New Roman" w:hAnsi="Times New Roman" w:eastAsia="Times New Roman" w:cs="Times New Roman"/>
        </w:rPr>
        <w:t xml:space="preserve"> </w:t>
      </w:r>
      <w:r>
        <w:rPr>
          <w:rFonts w:ascii="Ebrima" w:hAnsi="Ebrima" w:eastAsia="Ebrima" w:cs="Ebrima"/>
        </w:rPr>
        <w:t>ⵓⵎⴻⵣⵔⵓⵢ</w:t>
      </w:r>
      <w:r>
        <w:rPr>
          <w:rFonts w:ascii="Times New Roman" w:hAnsi="Times New Roman" w:eastAsia="Times New Roman" w:cs="Times New Roman"/>
        </w:rPr>
        <w:t xml:space="preserve"> </w:t>
      </w:r>
      <w:r>
        <w:rPr>
          <w:rFonts w:ascii="Ebrima" w:hAnsi="Ebrima" w:eastAsia="Ebrima" w:cs="Ebrima"/>
        </w:rPr>
        <w:t>ⵏⵏ</w:t>
      </w:r>
      <w:r>
        <w:rPr>
          <w:rFonts w:ascii="Times New Roman" w:hAnsi="Times New Roman" w:eastAsia="Times New Roman" w:cs="Times New Roman"/>
        </w:rPr>
        <w:t xml:space="preserve"> </w:t>
      </w:r>
      <w:r>
        <w:rPr>
          <w:rFonts w:ascii="Ebrima" w:hAnsi="Ebrima" w:eastAsia="Ebrima" w:cs="Ebrima"/>
        </w:rPr>
        <w:t>ⵜⵉⵏⴻⴱⴱⵓⵟⵉⵏ</w:t>
      </w:r>
      <w:r>
        <w:rPr>
          <w:rFonts w:ascii="Times New Roman" w:hAnsi="Times New Roman" w:eastAsia="Times New Roman" w:cs="Times New Roman"/>
        </w:rPr>
        <w:t xml:space="preserve"> </w:t>
      </w:r>
      <w:r>
        <w:rPr>
          <w:rFonts w:ascii="Ebrima" w:hAnsi="Ebrima" w:eastAsia="Ebrima" w:cs="Ebrima"/>
        </w:rPr>
        <w:t>ⵏ</w:t>
      </w:r>
      <w:r>
        <w:rPr>
          <w:rFonts w:ascii="Times New Roman" w:hAnsi="Times New Roman" w:eastAsia="Times New Roman" w:cs="Times New Roman"/>
        </w:rPr>
        <w:t xml:space="preserve"> </w:t>
      </w:r>
      <w:r>
        <w:rPr>
          <w:rFonts w:ascii="Ebrima" w:hAnsi="Ebrima" w:eastAsia="Ebrima" w:cs="Ebrima"/>
        </w:rPr>
        <w:t>ⵔⵓⵎⴰ</w:t>
      </w:r>
      <w:r>
        <w:rPr>
          <w:rFonts w:ascii="Times New Roman" w:hAnsi="Times New Roman" w:eastAsia="Times New Roman" w:cs="Times New Roman"/>
        </w:rPr>
        <w:t xml:space="preserve"> </w:t>
      </w:r>
      <w:r>
        <w:rPr>
          <w:rFonts w:ascii="Ebrima" w:hAnsi="Ebrima" w:eastAsia="Ebrima" w:cs="Ebrima"/>
        </w:rPr>
        <w:t>ⵜⴰⵎⴰⵣⴰⵏⵜ</w:t>
      </w:r>
      <w:r>
        <w:rPr>
          <w:rFonts w:ascii="Times New Roman" w:hAnsi="Times New Roman" w:eastAsia="Times New Roman" w:cs="Times New Roman"/>
        </w:rPr>
        <w:t xml:space="preserve">, </w:t>
      </w:r>
      <w:r>
        <w:rPr>
          <w:rFonts w:ascii="Ebrima" w:hAnsi="Ebrima" w:eastAsia="Ebrima" w:cs="Ebrima"/>
        </w:rPr>
        <w:t>ⵎⴰⵛⴰ</w:t>
      </w:r>
      <w:r>
        <w:rPr>
          <w:rFonts w:ascii="Times New Roman" w:hAnsi="Times New Roman" w:eastAsia="Times New Roman" w:cs="Times New Roman"/>
        </w:rPr>
        <w:t xml:space="preserve"> </w:t>
      </w:r>
      <w:r>
        <w:rPr>
          <w:rFonts w:ascii="Ebrima" w:hAnsi="Ebrima" w:eastAsia="Ebrima" w:cs="Ebrima"/>
        </w:rPr>
        <w:t>ⵓⵔ</w:t>
      </w:r>
      <w:r>
        <w:rPr>
          <w:rFonts w:ascii="Times New Roman" w:hAnsi="Times New Roman" w:eastAsia="Times New Roman" w:cs="Times New Roman"/>
        </w:rPr>
        <w:t xml:space="preserve"> </w:t>
      </w:r>
      <w:r>
        <w:rPr>
          <w:rFonts w:ascii="Ebrima" w:hAnsi="Ebrima" w:eastAsia="Ebrima" w:cs="Ebrima"/>
        </w:rPr>
        <w:t>ⴳ</w:t>
      </w:r>
      <w:r>
        <w:rPr>
          <w:rFonts w:ascii="Times New Roman" w:hAnsi="Times New Roman" w:eastAsia="Times New Roman" w:cs="Times New Roman"/>
        </w:rPr>
        <w:t xml:space="preserve"> </w:t>
      </w:r>
      <w:r>
        <w:rPr>
          <w:rFonts w:ascii="Ebrima" w:hAnsi="Ebrima" w:eastAsia="Ebrima" w:cs="Ebrima"/>
        </w:rPr>
        <w:t>ⵜⴰⴳⴰⵔⴰ</w:t>
      </w:r>
      <w:r>
        <w:rPr>
          <w:rFonts w:ascii="Times New Roman" w:hAnsi="Times New Roman" w:eastAsia="Times New Roman" w:cs="Times New Roman"/>
        </w:rPr>
        <w:t xml:space="preserve"> </w:t>
      </w:r>
      <w:r>
        <w:rPr>
          <w:rFonts w:ascii="Ebrima" w:hAnsi="Ebrima" w:eastAsia="Ebrima" w:cs="Ebrima"/>
        </w:rPr>
        <w:t>ⵏ</w:t>
      </w:r>
      <w:r>
        <w:rPr>
          <w:rFonts w:ascii="Times New Roman" w:hAnsi="Times New Roman" w:eastAsia="Times New Roman" w:cs="Times New Roman"/>
        </w:rPr>
        <w:t xml:space="preserve"> </w:t>
      </w:r>
      <w:r>
        <w:rPr>
          <w:rFonts w:ascii="Ebrima" w:hAnsi="Ebrima" w:eastAsia="Ebrima" w:cs="Ebrima"/>
        </w:rPr>
        <w:t>ⵔⵓⵎⴰ</w:t>
      </w:r>
      <w:r>
        <w:rPr>
          <w:rFonts w:ascii="Times New Roman" w:hAnsi="Times New Roman" w:eastAsia="Times New Roman" w:cs="Times New Roman"/>
        </w:rPr>
        <w:t xml:space="preserve"> </w:t>
      </w:r>
      <w:r>
        <w:rPr>
          <w:rFonts w:ascii="Ebrima" w:hAnsi="Ebrima" w:eastAsia="Ebrima" w:cs="Ebrima"/>
        </w:rPr>
        <w:t>ⵜⴰⴱⴰⴱⴰⵡⵉⵜ</w:t>
      </w:r>
      <w:r>
        <w:rPr>
          <w:rFonts w:ascii="Times New Roman" w:hAnsi="Times New Roman" w:eastAsia="Times New Roman" w:cs="Times New Roman"/>
        </w:rPr>
        <w:t xml:space="preserve">. </w:t>
      </w:r>
      <w:r>
        <w:rPr>
          <w:rFonts w:ascii="Ebrima" w:hAnsi="Ebrima" w:eastAsia="Ebrima" w:cs="Ebrima"/>
        </w:rPr>
        <w:t>ⵉⵙⵙⴱⴷⴷ</w:t>
      </w:r>
      <w:r>
        <w:rPr>
          <w:rFonts w:ascii="Times New Roman" w:hAnsi="Times New Roman" w:eastAsia="Times New Roman" w:cs="Times New Roman"/>
        </w:rPr>
        <w:t xml:space="preserve"> </w:t>
      </w:r>
      <w:r>
        <w:rPr>
          <w:rFonts w:ascii="Ebrima" w:hAnsi="Ebrima" w:eastAsia="Ebrima" w:cs="Ebrima"/>
        </w:rPr>
        <w:t>ⴷⴰⵖ</w:t>
      </w:r>
      <w:r>
        <w:rPr>
          <w:rFonts w:ascii="Times New Roman" w:hAnsi="Times New Roman" w:eastAsia="Times New Roman" w:cs="Times New Roman"/>
        </w:rPr>
        <w:t xml:space="preserve"> </w:t>
      </w:r>
      <w:r>
        <w:rPr>
          <w:rFonts w:ascii="Ebrima" w:hAnsi="Ebrima" w:eastAsia="Ebrima" w:cs="Ebrima"/>
        </w:rPr>
        <w:t>ⵜⴰⴳⵍⴷⵉⵜ</w:t>
      </w:r>
      <w:r>
        <w:rPr>
          <w:rFonts w:ascii="Times New Roman" w:hAnsi="Times New Roman" w:eastAsia="Times New Roman" w:cs="Times New Roman"/>
        </w:rPr>
        <w:t xml:space="preserve"> </w:t>
      </w:r>
      <w:r>
        <w:rPr>
          <w:rFonts w:ascii="Ebrima" w:hAnsi="Ebrima" w:eastAsia="Ebrima" w:cs="Ebrima"/>
        </w:rPr>
        <w:t>ⵏ</w:t>
      </w:r>
      <w:r>
        <w:rPr>
          <w:rFonts w:ascii="Times New Roman" w:hAnsi="Times New Roman" w:eastAsia="Times New Roman" w:cs="Times New Roman"/>
        </w:rPr>
        <w:t xml:space="preserve"> </w:t>
      </w:r>
      <w:r>
        <w:rPr>
          <w:rFonts w:ascii="Ebrima" w:hAnsi="Ebrima" w:eastAsia="Ebrima" w:cs="Ebrima"/>
        </w:rPr>
        <w:t>ⵓⴳⵍⵍⵉ</w:t>
      </w:r>
      <w:r>
        <w:rPr>
          <w:rFonts w:ascii="Times New Roman" w:hAnsi="Times New Roman" w:eastAsia="Times New Roman" w:cs="Times New Roman"/>
        </w:rPr>
        <w:t xml:space="preserve"> </w:t>
      </w:r>
      <w:r>
        <w:rPr>
          <w:rFonts w:ascii="Ebrima" w:hAnsi="Ebrima" w:eastAsia="Ebrima" w:cs="Ebrima"/>
        </w:rPr>
        <w:t>ⵏⵏⴻⵙ</w:t>
      </w:r>
      <w:r>
        <w:rPr>
          <w:rFonts w:ascii="Times New Roman" w:hAnsi="Times New Roman" w:eastAsia="Times New Roman" w:cs="Times New Roman"/>
        </w:rPr>
        <w:t xml:space="preserve"> </w:t>
      </w:r>
      <w:r>
        <w:rPr>
          <w:rFonts w:ascii="Ebrima" w:hAnsi="Ebrima" w:eastAsia="Ebrima" w:cs="Ebrima"/>
        </w:rPr>
        <w:t>ⴳ</w:t>
      </w:r>
      <w:r>
        <w:rPr>
          <w:rFonts w:ascii="Times New Roman" w:hAnsi="Times New Roman" w:eastAsia="Times New Roman" w:cs="Times New Roman"/>
        </w:rPr>
        <w:t xml:space="preserve"> </w:t>
      </w:r>
      <w:r>
        <w:rPr>
          <w:rFonts w:ascii="Ebrima" w:hAnsi="Ebrima" w:eastAsia="Ebrima" w:cs="Ebrima"/>
        </w:rPr>
        <w:t>ⵡⴰⵙⵙ</w:t>
      </w:r>
      <w:r>
        <w:rPr>
          <w:rFonts w:ascii="Times New Roman" w:hAnsi="Times New Roman" w:eastAsia="Times New Roman" w:cs="Times New Roman"/>
        </w:rPr>
        <w:t xml:space="preserve"> </w:t>
      </w:r>
      <w:r>
        <w:rPr>
          <w:rFonts w:ascii="Ebrima" w:hAnsi="Ebrima" w:eastAsia="Ebrima" w:cs="Ebrima"/>
        </w:rPr>
        <w:t>ⵏ</w:t>
      </w:r>
      <w:r>
        <w:rPr>
          <w:rFonts w:ascii="Times New Roman" w:hAnsi="Times New Roman" w:eastAsia="Times New Roman" w:cs="Times New Roman"/>
        </w:rPr>
        <w:t xml:space="preserve"> </w:t>
      </w:r>
      <w:r>
        <w:rPr>
          <w:rFonts w:ascii="Ebrima" w:hAnsi="Ebrima" w:eastAsia="Ebrima" w:cs="Ebrima"/>
        </w:rPr>
        <w:t>ⵜⵓⵛⵛⵉⵜ</w:t>
      </w:r>
      <w:r>
        <w:rPr>
          <w:rFonts w:ascii="Times New Roman" w:hAnsi="Times New Roman" w:eastAsia="Times New Roman" w:cs="Times New Roman"/>
        </w:rPr>
        <w:t xml:space="preserve"> </w:t>
      </w:r>
      <w:r>
        <w:rPr>
          <w:rFonts w:ascii="Ebrima" w:hAnsi="Ebrima" w:eastAsia="Ebrima" w:cs="Ebrima"/>
        </w:rPr>
        <w:t>ⵏⵏⴻⵙ</w:t>
      </w:r>
      <w:r>
        <w:rPr>
          <w:rFonts w:ascii="Times New Roman" w:hAnsi="Times New Roman" w:eastAsia="Times New Roman" w:cs="Times New Roman"/>
        </w:rPr>
        <w:t xml:space="preserve"> </w:t>
      </w:r>
      <w:r>
        <w:rPr>
          <w:rFonts w:ascii="Ebrima" w:hAnsi="Ebrima" w:eastAsia="Ebrima" w:cs="Ebrima"/>
        </w:rPr>
        <w:t>ⵜⵉⵙ</w:t>
      </w:r>
      <w:r>
        <w:rPr>
          <w:rFonts w:ascii="Times New Roman" w:hAnsi="Times New Roman" w:eastAsia="Times New Roman" w:cs="Times New Roman"/>
        </w:rPr>
        <w:t xml:space="preserve"> </w:t>
      </w:r>
      <w:r>
        <w:rPr>
          <w:rFonts w:ascii="Ebrima" w:hAnsi="Ebrima" w:eastAsia="Ebrima" w:cs="Ebrima"/>
        </w:rPr>
        <w:t>ⵙⵉⵏ</w:t>
      </w:r>
      <w:r>
        <w:rPr>
          <w:rFonts w:ascii="Times New Roman" w:hAnsi="Times New Roman" w:eastAsia="Times New Roman" w:cs="Times New Roman"/>
        </w:rPr>
        <w:t xml:space="preserve">, </w:t>
      </w:r>
      <w:r>
        <w:rPr>
          <w:rFonts w:ascii="Ebrima" w:hAnsi="Ebrima" w:eastAsia="Ebrima" w:cs="Ebrima"/>
        </w:rPr>
        <w:t>ⵍⵍⵉ</w:t>
      </w:r>
      <w:r>
        <w:rPr>
          <w:rFonts w:ascii="Times New Roman" w:hAnsi="Times New Roman" w:eastAsia="Times New Roman" w:cs="Times New Roman"/>
        </w:rPr>
        <w:t xml:space="preserve"> </w:t>
      </w:r>
      <w:r>
        <w:rPr>
          <w:rFonts w:ascii="Ebrima" w:hAnsi="Ebrima" w:eastAsia="Ebrima" w:cs="Ebrima"/>
        </w:rPr>
        <w:t>ⵢⴻⵙⵙⴽⵛⴰⵎⴻⵏ</w:t>
      </w:r>
      <w:r>
        <w:rPr>
          <w:rFonts w:ascii="Times New Roman" w:hAnsi="Times New Roman" w:eastAsia="Times New Roman" w:cs="Times New Roman"/>
        </w:rPr>
        <w:t xml:space="preserve"> </w:t>
      </w:r>
      <w:r>
        <w:rPr>
          <w:rFonts w:ascii="Ebrima" w:hAnsi="Ebrima" w:eastAsia="Ebrima" w:cs="Ebrima"/>
        </w:rPr>
        <w:t>ⵓⵎⴻⵣⵔⵓⵢ</w:t>
      </w:r>
      <w:r>
        <w:rPr>
          <w:rFonts w:ascii="Times New Roman" w:hAnsi="Times New Roman" w:eastAsia="Times New Roman" w:cs="Times New Roman"/>
        </w:rPr>
        <w:t xml:space="preserve"> </w:t>
      </w:r>
      <w:r>
        <w:rPr>
          <w:rFonts w:ascii="Ebrima" w:hAnsi="Ebrima" w:eastAsia="Ebrima" w:cs="Ebrima"/>
        </w:rPr>
        <w:t>ⵏ</w:t>
      </w:r>
      <w:r>
        <w:rPr>
          <w:rFonts w:ascii="Times New Roman" w:hAnsi="Times New Roman" w:eastAsia="Times New Roman" w:cs="Times New Roman"/>
        </w:rPr>
        <w:t xml:space="preserve"> </w:t>
      </w:r>
      <w:r>
        <w:rPr>
          <w:rFonts w:ascii="Ebrima" w:hAnsi="Ebrima" w:eastAsia="Ebrima" w:cs="Ebrima"/>
        </w:rPr>
        <w:t>ⵓⵏⵥⴰⵕ</w:t>
      </w:r>
      <w:r>
        <w:rPr>
          <w:rFonts w:ascii="Times New Roman" w:hAnsi="Times New Roman" w:eastAsia="Times New Roman" w:cs="Times New Roman"/>
        </w:rPr>
        <w:t xml:space="preserve"> </w:t>
      </w:r>
      <w:r>
        <w:rPr>
          <w:rFonts w:ascii="Ebrima" w:hAnsi="Ebrima" w:eastAsia="Ebrima" w:cs="Ebrima"/>
        </w:rPr>
        <w:t>ⴰⵏⴳⴳⵓⵔⵓ</w:t>
      </w:r>
      <w:r>
        <w:rPr>
          <w:rFonts w:ascii="Times New Roman" w:hAnsi="Times New Roman" w:eastAsia="Times New Roman" w:cs="Times New Roman"/>
        </w:rPr>
        <w:t xml:space="preserve">, </w:t>
      </w:r>
      <w:r>
        <w:rPr>
          <w:rFonts w:ascii="Ebrima" w:hAnsi="Ebrima" w:eastAsia="Ebrima" w:cs="Ebrima"/>
        </w:rPr>
        <w:t>ⵎⵉ</w:t>
      </w:r>
      <w:r>
        <w:rPr>
          <w:rFonts w:ascii="Times New Roman" w:hAnsi="Times New Roman" w:eastAsia="Times New Roman" w:cs="Times New Roman"/>
        </w:rPr>
        <w:t xml:space="preserve"> </w:t>
      </w:r>
      <w:r>
        <w:rPr>
          <w:rFonts w:ascii="Ebrima" w:hAnsi="Ebrima" w:eastAsia="Ebrima" w:cs="Ebrima"/>
        </w:rPr>
        <w:t>ⵍⵍⵉ</w:t>
      </w:r>
      <w:r>
        <w:rPr>
          <w:rFonts w:ascii="Times New Roman" w:hAnsi="Times New Roman" w:eastAsia="Times New Roman" w:cs="Times New Roman"/>
        </w:rPr>
        <w:t xml:space="preserve"> </w:t>
      </w:r>
      <w:r>
        <w:rPr>
          <w:rFonts w:ascii="Ebrima" w:hAnsi="Ebrima" w:eastAsia="Ebrima" w:cs="Ebrima"/>
        </w:rPr>
        <w:t>ⵜⵜⵓⵙⴰⵔⴰⵏⵜ</w:t>
      </w:r>
      <w:r>
        <w:rPr>
          <w:rFonts w:ascii="Times New Roman" w:hAnsi="Times New Roman" w:eastAsia="Times New Roman" w:cs="Times New Roman"/>
        </w:rPr>
        <w:t xml:space="preserve"> </w:t>
      </w:r>
      <w:r>
        <w:rPr>
          <w:rFonts w:ascii="Ebrima" w:hAnsi="Ebrima" w:eastAsia="Ebrima" w:cs="Ebrima"/>
        </w:rPr>
        <w:t>ⴽⴽⵓⵥ</w:t>
      </w:r>
      <w:r>
        <w:rPr>
          <w:rFonts w:ascii="Times New Roman" w:hAnsi="Times New Roman" w:eastAsia="Times New Roman" w:cs="Times New Roman"/>
        </w:rPr>
        <w:t xml:space="preserve"> </w:t>
      </w:r>
      <w:r>
        <w:rPr>
          <w:rFonts w:ascii="Ebrima" w:hAnsi="Ebrima" w:eastAsia="Ebrima" w:cs="Ebrima"/>
        </w:rPr>
        <w:t>ⵏ</w:t>
      </w:r>
      <w:r>
        <w:rPr>
          <w:rFonts w:ascii="Times New Roman" w:hAnsi="Times New Roman" w:eastAsia="Times New Roman" w:cs="Times New Roman"/>
        </w:rPr>
        <w:t xml:space="preserve"> </w:t>
      </w:r>
      <w:r>
        <w:rPr>
          <w:rFonts w:ascii="Ebrima" w:hAnsi="Ebrima" w:eastAsia="Ebrima" w:cs="Ebrima"/>
        </w:rPr>
        <w:t>ⵡⴰⴹⵓⵜⴻⵏ</w:t>
      </w:r>
      <w:r>
        <w:rPr>
          <w:rFonts w:ascii="Times New Roman" w:hAnsi="Times New Roman" w:eastAsia="Times New Roman" w:cs="Times New Roman"/>
        </w:rPr>
        <w:t xml:space="preserve"> </w:t>
      </w:r>
      <w:r>
        <w:rPr>
          <w:rFonts w:ascii="Ebrima" w:hAnsi="Ebrima" w:eastAsia="Ebrima" w:cs="Ebrima"/>
        </w:rPr>
        <w:t>ⵏ</w:t>
      </w:r>
      <w:r>
        <w:rPr>
          <w:rFonts w:ascii="Times New Roman" w:hAnsi="Times New Roman" w:eastAsia="Times New Roman" w:cs="Times New Roman"/>
        </w:rPr>
        <w:t xml:space="preserve"> </w:t>
      </w:r>
      <w:r>
        <w:rPr>
          <w:rFonts w:ascii="Ebrima" w:hAnsi="Ebrima" w:eastAsia="Ebrima" w:cs="Ebrima"/>
        </w:rPr>
        <w:t>ⵍⵉⵙⵍⴰⵎ</w:t>
      </w:r>
      <w:r>
        <w:rPr>
          <w:rFonts w:ascii="Times New Roman" w:hAnsi="Times New Roman" w:eastAsia="Times New Roman" w:cs="Times New Roman"/>
        </w:rPr>
        <w:t>.</w:t>
      </w:r>
    </w:p>
    <w:p>
      <w:pPr>
        <w:pStyle w:val="ArticleScripture"/>
        <w:jc w:val="left"/>
      </w:pPr>
      <w:r>
        <w:rPr>
          <w:rFonts w:ascii="Microsoft YaHei" w:hAnsi="Microsoft YaHei" w:eastAsia="Microsoft YaHei" w:cs="Microsoft YaHei"/>
        </w:rPr>
        <w:t>「後</w:t>
      </w:r>
      <w:r>
        <w:rPr>
          <w:rFonts w:ascii="MS Gothic" w:hAnsi="MS Gothic" w:eastAsia="MS Gothic" w:cs="MS Gothic"/>
        </w:rPr>
        <w:t>の</w:t>
      </w:r>
      <w:r>
        <w:rPr>
          <w:rFonts w:ascii="Microsoft YaHei" w:hAnsi="Microsoft YaHei" w:eastAsia="Microsoft YaHei" w:cs="Microsoft YaHei"/>
        </w:rPr>
        <w:t>雨」</w:t>
      </w:r>
      <w:r>
        <w:rPr>
          <w:rFonts w:ascii="MS Gothic" w:hAnsi="MS Gothic" w:eastAsia="MS Gothic" w:cs="MS Gothic"/>
        </w:rPr>
        <w:t>は</w:t>
      </w:r>
      <w:r>
        <w:rPr>
          <w:rFonts w:ascii="Microsoft YaHei" w:hAnsi="Microsoft YaHei" w:eastAsia="Microsoft YaHei" w:cs="Microsoft YaHei"/>
        </w:rPr>
        <w:t>、清</w:t>
      </w:r>
      <w:r>
        <w:rPr>
          <w:rFonts w:ascii="MS Gothic" w:hAnsi="MS Gothic" w:eastAsia="MS Gothic" w:cs="MS Gothic"/>
        </w:rPr>
        <w:t>い</w:t>
      </w:r>
      <w:r>
        <w:rPr>
          <w:rFonts w:ascii="Microsoft YaHei" w:hAnsi="Microsoft YaHei" w:eastAsia="Microsoft YaHei" w:cs="Microsoft YaHei"/>
        </w:rPr>
        <w:t>者</w:t>
      </w:r>
      <w:r>
        <w:rPr>
          <w:rFonts w:ascii="MS Gothic" w:hAnsi="MS Gothic" w:eastAsia="MS Gothic" w:cs="MS Gothic"/>
        </w:rPr>
        <w:t>たちの</w:t>
      </w:r>
      <w:r>
        <w:rPr>
          <w:rFonts w:ascii="Microsoft YaHei" w:hAnsi="Microsoft YaHei" w:eastAsia="Microsoft YaHei" w:cs="Microsoft YaHei"/>
        </w:rPr>
        <w:t>上</w:t>
      </w:r>
      <w:r>
        <w:rPr>
          <w:rFonts w:ascii="MS Gothic" w:hAnsi="MS Gothic" w:eastAsia="MS Gothic" w:cs="MS Gothic"/>
        </w:rPr>
        <w:t>に</w:t>
      </w:r>
      <w:r>
        <w:rPr>
          <w:rFonts w:ascii="Microsoft YaHei" w:hAnsi="Microsoft YaHei" w:eastAsia="Microsoft YaHei" w:cs="Microsoft YaHei"/>
        </w:rPr>
        <w:t>降</w:t>
      </w:r>
      <w:r>
        <w:rPr>
          <w:rFonts w:ascii="MS Gothic" w:hAnsi="MS Gothic" w:eastAsia="MS Gothic" w:cs="MS Gothic"/>
        </w:rPr>
        <w:t>ろうとしている</w:t>
      </w:r>
      <w:r>
        <w:rPr>
          <w:rFonts w:ascii="Times New Roman" w:hAnsi="Times New Roman" w:eastAsia="Times New Roman" w:cs="Times New Roman"/>
        </w:rPr>
        <w:t>――</w:t>
      </w:r>
      <w:r>
        <w:rPr>
          <w:rFonts w:ascii="MS Gothic" w:hAnsi="MS Gothic" w:eastAsia="MS Gothic" w:cs="MS Gothic"/>
        </w:rPr>
        <w:t>そのとき</w:t>
      </w:r>
      <w:r>
        <w:rPr>
          <w:rFonts w:ascii="Microsoft YaHei" w:hAnsi="Microsoft YaHei" w:eastAsia="Microsoft YaHei" w:cs="Microsoft YaHei"/>
        </w:rPr>
        <w:t>、</w:t>
      </w:r>
      <w:r>
        <w:rPr>
          <w:rFonts w:ascii="MS Gothic" w:hAnsi="MS Gothic" w:eastAsia="MS Gothic" w:cs="MS Gothic"/>
        </w:rPr>
        <w:t>すべての</w:t>
      </w:r>
      <w:r>
        <w:rPr>
          <w:rFonts w:ascii="Microsoft YaHei" w:hAnsi="Microsoft YaHei" w:eastAsia="Microsoft YaHei" w:cs="Microsoft YaHei"/>
        </w:rPr>
        <w:t>者</w:t>
      </w:r>
      <w:r>
        <w:rPr>
          <w:rFonts w:ascii="MS Gothic" w:hAnsi="MS Gothic" w:eastAsia="MS Gothic" w:cs="MS Gothic"/>
        </w:rPr>
        <w:t>が</w:t>
      </w:r>
      <w:r>
        <w:rPr>
          <w:rFonts w:ascii="Microsoft YaHei" w:hAnsi="Microsoft YaHei" w:eastAsia="Microsoft YaHei" w:cs="Microsoft YaHei"/>
        </w:rPr>
        <w:t>、</w:t>
      </w:r>
      <w:r>
        <w:rPr>
          <w:rFonts w:ascii="MS Gothic" w:hAnsi="MS Gothic" w:eastAsia="MS Gothic" w:cs="MS Gothic"/>
        </w:rPr>
        <w:t>かつてそうであったように</w:t>
      </w:r>
      <w:r>
        <w:rPr>
          <w:rFonts w:ascii="Microsoft YaHei" w:hAnsi="Microsoft YaHei" w:eastAsia="Microsoft YaHei" w:cs="Microsoft YaHei"/>
        </w:rPr>
        <w:t>、</w:t>
      </w:r>
      <w:r>
        <w:rPr>
          <w:rFonts w:ascii="MS Gothic" w:hAnsi="MS Gothic" w:eastAsia="MS Gothic" w:cs="MS Gothic"/>
        </w:rPr>
        <w:t>それを</w:t>
      </w:r>
      <w:r>
        <w:rPr>
          <w:rFonts w:ascii="Microsoft YaHei" w:hAnsi="Microsoft YaHei" w:eastAsia="Microsoft YaHei" w:cs="Microsoft YaHei"/>
        </w:rPr>
        <w:t>受</w:t>
      </w:r>
      <w:r>
        <w:rPr>
          <w:rFonts w:ascii="MS Gothic" w:hAnsi="MS Gothic" w:eastAsia="MS Gothic" w:cs="MS Gothic"/>
        </w:rPr>
        <w:t>けるのである</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 Quand les quatre anges lâcheront prise, Christ établira son royaume. Nul ne recevra la pluie de l’arrière-saison, sinon ceux qui font tout ce qu’ils peuvent. Christ nous aiderait. Tous pourraient être vainqueurs par la grâce de Dieu, par le sang de Jésus. Tout le ciel s’intéresse à l’œuvre. Les anges s’y intéressent. » Spalding and Magan, 3.</w:t>
      </w:r>
    </w:p>
    <w:p>
      <w:pPr>
        <w:pStyle w:val="ArticleBody"/>
        <w:jc w:val="left"/>
      </w:pPr>
      <w:r>
        <w:rPr>
          <w:rFonts w:ascii="Times New Roman" w:hAnsi="Times New Roman" w:eastAsia="Times New Roman" w:cs="Times New Roman"/>
        </w:rPr>
        <w:t>Lorsque les quatre vents seront relâchés, Christ établira Son royaume. La pluie de l’arrière-saison comme le relâchement des quatre vents représentent tous deux des événements progressifs, et ni l’un ni l’autre ne désignent un moment ponctuel dans le temps. Les quatre vents représentent l’islam.</w:t>
      </w:r>
    </w:p>
    <w:p>
      <w:pPr>
        <w:pStyle w:val="ArticleScripture"/>
        <w:jc w:val="left"/>
      </w:pPr>
      <w:r>
        <w:rPr>
          <w:rFonts w:ascii="Times New Roman" w:hAnsi="Times New Roman" w:eastAsia="Times New Roman" w:cs="Times New Roman"/>
        </w:rPr>
        <w:t>« Les anges retiennent les quatre vents, représentés comme un cheval furieux cherchant à se dégager et à se précipiter sur la face de toute la terre, portant sur son passage la destruction et la mort. »</w:t>
      </w:r>
    </w:p>
    <w:p>
      <w:pPr>
        <w:pStyle w:val="ArticleScripture"/>
        <w:jc w:val="left"/>
      </w:pPr>
      <w:r>
        <w:rPr>
          <w:rFonts w:ascii="Times New Roman" w:hAnsi="Times New Roman" w:eastAsia="Times New Roman" w:cs="Times New Roman"/>
        </w:rPr>
        <w:t>«По самия праг на вечния свят ли ще спим? Ще бъдем ли безчувствени, хладни и мъртви? О, дано в нашите църкви имаме Духа и диханието на Бога, вдъхнати в Неговия народ, за да застанат на нозете си и да оживеят. Нужно е да видим, че пътят е тесен и вратата — тясна. Но когато преминаваме през тясната врата, нейната широта е без предел.» Manuscript Releases, том 20, 217.</w:t>
      </w:r>
    </w:p>
    <w:p>
      <w:pPr>
        <w:pStyle w:val="ArticleBody"/>
        <w:jc w:val="left"/>
      </w:pPr>
      <w:r>
        <w:rPr>
          <w:rFonts w:ascii="Times New Roman" w:hAnsi="Times New Roman" w:eastAsia="Times New Roman" w:cs="Times New Roman"/>
        </w:rPr>
        <w:t>Les anges retiennent le cheval furieux de l’islam qui cherche à se déchaîner, semant la mort et la destruction sur son passage, durant la période où l’Esprit de Dieu est soufflé sur le peuple de Dieu. Alors ils se tiennent sur leurs pieds et vivent. Avant que l’Esprit ne soit soufflé sur eux, le peuple de Dieu est mort, car le souffle de l’Esprit les fait se lever et vivre. Lorsque sœur White dit que nous sommes maintenant parvenus à un temps où les pieds de la statue mêlés de fer et d’argile bourbeuse représentent l’union de l’Église et de l’État, l’effusion de la pluie de l’arrière-saison était encore à venir.</w:t>
      </w:r>
    </w:p>
    <w:p>
      <w:pPr>
        <w:pStyle w:val="ArticleScripture"/>
        <w:jc w:val="left"/>
      </w:pPr>
      <w:r>
        <w:rPr>
          <w:rFonts w:ascii="Times New Roman" w:hAnsi="Times New Roman" w:eastAsia="Times New Roman" w:cs="Times New Roman"/>
        </w:rPr>
        <w:t>“Mvua ya mwisho itawanyeshe juu ya watu wa Mungu. Malaika mwenye nguvu atashuka kutoka mbinguni, na dunia yote itaangazwa kwa utukufu wake.” Review and Herald, April 21, 1891.</w:t>
      </w:r>
    </w:p>
    <w:p>
      <w:pPr>
        <w:pStyle w:val="ArticleBody"/>
        <w:jc w:val="left"/>
      </w:pPr>
      <w:r>
        <w:rPr>
          <w:rFonts w:ascii="Times New Roman" w:hAnsi="Times New Roman" w:eastAsia="Times New Roman" w:cs="Times New Roman"/>
        </w:rPr>
        <w:t>در مکاشفه هجده، دو صدا وجود دارد.</w:t>
      </w:r>
    </w:p>
    <w:p>
      <w:pPr>
        <w:pStyle w:val="ArticleScripture"/>
        <w:jc w:val="left"/>
      </w:pPr>
      <w:r>
        <w:rPr>
          <w:rFonts w:ascii="Times New Roman" w:hAnsi="Times New Roman" w:eastAsia="Times New Roman" w:cs="Times New Roman"/>
        </w:rPr>
        <w:t>« Jésus, lorsqu’Il commença Son ministère public, purifia le Temple de sa profanation sacrilège. Parmi les derniers actes de Son ministère figura la seconde purification du Temple. Ainsi, dans l’œuvre finale destinée à l’avertissement du monde, deux appels distincts sont adressés aux Églises. » Messages choisis, livre 2, p. 118.</w:t>
      </w:r>
    </w:p>
    <w:p>
      <w:pPr>
        <w:pStyle w:val="ArticleBody"/>
        <w:jc w:val="left"/>
      </w:pPr>
      <w:r>
        <w:rPr>
          <w:rFonts w:ascii="Times New Roman" w:hAnsi="Times New Roman" w:eastAsia="Times New Roman" w:cs="Times New Roman"/>
        </w:rPr>
        <w:t>Sauti ya kwanza ni mwito wa kuwaamsha watu wa Mungu, sauti ya pili ni mwito wa kuwaamsha watoto wengine wa Mungu ambao bado wako Babeli.</w:t>
      </w:r>
    </w:p>
    <w:p>
      <w:pPr>
        <w:pStyle w:val="ArticleScripture"/>
        <w:jc w:val="left"/>
      </w:pPr>
      <w:r>
        <w:rPr>
          <w:rFonts w:ascii="Times New Roman" w:hAnsi="Times New Roman" w:eastAsia="Times New Roman" w:cs="Times New Roman"/>
        </w:rPr>
        <w:t>«</w:t>
      </w:r>
      <w:r>
        <w:rPr>
          <w:rFonts w:ascii="Leelawadee UI" w:hAnsi="Leelawadee UI" w:eastAsia="Leelawadee UI" w:cs="Leelawadee UI"/>
        </w:rPr>
        <w:t>វាមានពិភពលោកមួយកំពុងដេកនៅក្នុងអំពើអាក្រក់</w:t>
      </w:r>
      <w:r>
        <w:rPr>
          <w:rFonts w:ascii="Times New Roman" w:hAnsi="Times New Roman" w:eastAsia="Times New Roman" w:cs="Times New Roman"/>
        </w:rPr>
        <w:t xml:space="preserve"> </w:t>
      </w:r>
      <w:r>
        <w:rPr>
          <w:rFonts w:ascii="Leelawadee UI" w:hAnsi="Leelawadee UI" w:eastAsia="Leelawadee UI" w:cs="Leelawadee UI"/>
        </w:rPr>
        <w:t>នៅក្នុងការបោកបញ្ឆោត</w:t>
      </w:r>
      <w:r>
        <w:rPr>
          <w:rFonts w:ascii="Times New Roman" w:hAnsi="Times New Roman" w:eastAsia="Times New Roman" w:cs="Times New Roman"/>
        </w:rPr>
        <w:t xml:space="preserve"> </w:t>
      </w:r>
      <w:r>
        <w:rPr>
          <w:rFonts w:ascii="Leelawadee UI" w:hAnsi="Leelawadee UI" w:eastAsia="Leelawadee UI" w:cs="Leelawadee UI"/>
        </w:rPr>
        <w:t>និងការវង្វេង</w:t>
      </w:r>
      <w:r>
        <w:rPr>
          <w:rFonts w:ascii="Times New Roman" w:hAnsi="Times New Roman" w:eastAsia="Times New Roman" w:cs="Times New Roman"/>
        </w:rPr>
        <w:t xml:space="preserve"> </w:t>
      </w:r>
      <w:r>
        <w:rPr>
          <w:rFonts w:ascii="Leelawadee UI" w:hAnsi="Leelawadee UI" w:eastAsia="Leelawadee UI" w:cs="Leelawadee UI"/>
        </w:rPr>
        <w:t>នៅក្នុងស្រមោលនៃសេចក្តីស្លាប់ផ្ទាល់</w:t>
      </w:r>
      <w:r>
        <w:rPr>
          <w:rFonts w:ascii="Times New Roman" w:hAnsi="Times New Roman" w:eastAsia="Times New Roman" w:cs="Times New Roman"/>
        </w:rPr>
        <w:t>—</w:t>
      </w:r>
      <w:r>
        <w:rPr>
          <w:rFonts w:ascii="Leelawadee UI" w:hAnsi="Leelawadee UI" w:eastAsia="Leelawadee UI" w:cs="Leelawadee UI"/>
        </w:rPr>
        <w:t>ដេកលក់</w:t>
      </w:r>
      <w:r>
        <w:rPr>
          <w:rFonts w:ascii="Times New Roman" w:hAnsi="Times New Roman" w:eastAsia="Times New Roman" w:cs="Times New Roman"/>
        </w:rPr>
        <w:t xml:space="preserve"> </w:t>
      </w:r>
      <w:r>
        <w:rPr>
          <w:rFonts w:ascii="Leelawadee UI" w:hAnsi="Leelawadee UI" w:eastAsia="Leelawadee UI" w:cs="Leelawadee UI"/>
        </w:rPr>
        <w:t>ដេកលក់។</w:t>
      </w:r>
      <w:r>
        <w:rPr>
          <w:rFonts w:ascii="Times New Roman" w:hAnsi="Times New Roman" w:eastAsia="Times New Roman" w:cs="Times New Roman"/>
        </w:rPr>
        <w:t xml:space="preserve"> </w:t>
      </w:r>
      <w:r>
        <w:rPr>
          <w:rFonts w:ascii="Leelawadee UI" w:hAnsi="Leelawadee UI" w:eastAsia="Leelawadee UI" w:cs="Leelawadee UI"/>
        </w:rPr>
        <w:t>តើនរណាខ្លះកំពុងមានទុក្ខព្រួយក្នុងព្រលឹង</w:t>
      </w:r>
      <w:r>
        <w:rPr>
          <w:rFonts w:ascii="Times New Roman" w:hAnsi="Times New Roman" w:eastAsia="Times New Roman" w:cs="Times New Roman"/>
        </w:rPr>
        <w:t xml:space="preserve"> </w:t>
      </w:r>
      <w:r>
        <w:rPr>
          <w:rFonts w:ascii="Leelawadee UI" w:hAnsi="Leelawadee UI" w:eastAsia="Leelawadee UI" w:cs="Leelawadee UI"/>
        </w:rPr>
        <w:t>ដើម្បីដាស់ពួកគេឲ្យភ្ញាក់ឡើង</w:t>
      </w:r>
      <w:r>
        <w:rPr>
          <w:rFonts w:ascii="Times New Roman" w:hAnsi="Times New Roman" w:eastAsia="Times New Roman" w:cs="Times New Roman"/>
        </w:rPr>
        <w:t xml:space="preserve">? </w:t>
      </w:r>
      <w:r>
        <w:rPr>
          <w:rFonts w:ascii="Leelawadee UI" w:hAnsi="Leelawadee UI" w:eastAsia="Leelawadee UI" w:cs="Leelawadee UI"/>
        </w:rPr>
        <w:t>តើសំឡេងអ្វីអាចទៅដល់ពួកគេ</w:t>
      </w:r>
      <w:r>
        <w:rPr>
          <w:rFonts w:ascii="Times New Roman" w:hAnsi="Times New Roman" w:eastAsia="Times New Roman" w:cs="Times New Roman"/>
        </w:rPr>
        <w:t xml:space="preserve">? </w:t>
      </w:r>
      <w:r>
        <w:rPr>
          <w:rFonts w:ascii="Leelawadee UI" w:hAnsi="Leelawadee UI" w:eastAsia="Leelawadee UI" w:cs="Leelawadee UI"/>
        </w:rPr>
        <w:t>ចិត្តរបស់ខ្ញុំត្រូវបាននាំទៅកាន់អនាគត</w:t>
      </w:r>
      <w:r>
        <w:rPr>
          <w:rFonts w:ascii="Times New Roman" w:hAnsi="Times New Roman" w:eastAsia="Times New Roman" w:cs="Times New Roman"/>
        </w:rPr>
        <w:t xml:space="preserve"> </w:t>
      </w:r>
      <w:r>
        <w:rPr>
          <w:rFonts w:ascii="Leelawadee UI" w:hAnsi="Leelawadee UI" w:eastAsia="Leelawadee UI" w:cs="Leelawadee UI"/>
        </w:rPr>
        <w:t>នៅពេលដែលសញ្ញានឹងត្រូវបានប្រកាសថា</w:t>
      </w:r>
      <w:r>
        <w:rPr>
          <w:rFonts w:ascii="Times New Roman" w:hAnsi="Times New Roman" w:eastAsia="Times New Roman" w:cs="Times New Roman"/>
        </w:rPr>
        <w:t xml:space="preserve"> “</w:t>
      </w:r>
      <w:r>
        <w:rPr>
          <w:rFonts w:ascii="Leelawadee UI" w:hAnsi="Leelawadee UI" w:eastAsia="Leelawadee UI" w:cs="Leelawadee UI"/>
        </w:rPr>
        <w:t>មើល៍</w:t>
      </w:r>
      <w:r>
        <w:rPr>
          <w:rFonts w:ascii="Times New Roman" w:hAnsi="Times New Roman" w:eastAsia="Times New Roman" w:cs="Times New Roman"/>
        </w:rPr>
        <w:t xml:space="preserve">! </w:t>
      </w:r>
      <w:r>
        <w:rPr>
          <w:rFonts w:ascii="Leelawadee UI" w:hAnsi="Leelawadee UI" w:eastAsia="Leelawadee UI" w:cs="Leelawadee UI"/>
        </w:rPr>
        <w:t>កូនកំលោះមកហើយ</w:t>
      </w:r>
      <w:r>
        <w:rPr>
          <w:rFonts w:ascii="Times New Roman" w:hAnsi="Times New Roman" w:eastAsia="Times New Roman" w:cs="Times New Roman"/>
        </w:rPr>
        <w:t xml:space="preserve">; </w:t>
      </w:r>
      <w:r>
        <w:rPr>
          <w:rFonts w:ascii="Leelawadee UI" w:hAnsi="Leelawadee UI" w:eastAsia="Leelawadee UI" w:cs="Leelawadee UI"/>
        </w:rPr>
        <w:t>ចូរអ្នករាល់គ្នាចេញទៅជួបទ្រង់ចុះ។</w:t>
      </w:r>
      <w:r>
        <w:rPr>
          <w:rFonts w:ascii="Times New Roman" w:hAnsi="Times New Roman" w:eastAsia="Times New Roman" w:cs="Times New Roman"/>
        </w:rPr>
        <w:t xml:space="preserve">” </w:t>
      </w:r>
      <w:r>
        <w:rPr>
          <w:rFonts w:ascii="Leelawadee UI" w:hAnsi="Leelawadee UI" w:eastAsia="Leelawadee UI" w:cs="Leelawadee UI"/>
        </w:rPr>
        <w:t>ប៉ុន្តែ</w:t>
      </w:r>
      <w:r>
        <w:rPr>
          <w:rFonts w:ascii="Times New Roman" w:hAnsi="Times New Roman" w:eastAsia="Times New Roman" w:cs="Times New Roman"/>
        </w:rPr>
        <w:t xml:space="preserve"> </w:t>
      </w:r>
      <w:r>
        <w:rPr>
          <w:rFonts w:ascii="Leelawadee UI" w:hAnsi="Leelawadee UI" w:eastAsia="Leelawadee UI" w:cs="Leelawadee UI"/>
        </w:rPr>
        <w:t>មនុស្សខ្លះនឹងបានពន្យារពេលក្នុងការទទួលយកប្រេងសម្រាប់បំពេញចង្កៀងរបស់ខ្លួនឡើងវិញ</w:t>
      </w:r>
      <w:r>
        <w:rPr>
          <w:rFonts w:ascii="Times New Roman" w:hAnsi="Times New Roman" w:eastAsia="Times New Roman" w:cs="Times New Roman"/>
        </w:rPr>
        <w:t xml:space="preserve"> </w:t>
      </w:r>
      <w:r>
        <w:rPr>
          <w:rFonts w:ascii="Leelawadee UI" w:hAnsi="Leelawadee UI" w:eastAsia="Leelawadee UI" w:cs="Leelawadee UI"/>
        </w:rPr>
        <w:t>ហើយយឺតពេលពេក</w:t>
      </w:r>
      <w:r>
        <w:rPr>
          <w:rFonts w:ascii="Times New Roman" w:hAnsi="Times New Roman" w:eastAsia="Times New Roman" w:cs="Times New Roman"/>
        </w:rPr>
        <w:t xml:space="preserve"> </w:t>
      </w:r>
      <w:r>
        <w:rPr>
          <w:rFonts w:ascii="Leelawadee UI" w:hAnsi="Leelawadee UI" w:eastAsia="Leelawadee UI" w:cs="Leelawadee UI"/>
        </w:rPr>
        <w:t>ពួកគេនឹងរកឃើញថា</w:t>
      </w:r>
      <w:r>
        <w:rPr>
          <w:rFonts w:ascii="Times New Roman" w:hAnsi="Times New Roman" w:eastAsia="Times New Roman" w:cs="Times New Roman"/>
        </w:rPr>
        <w:t xml:space="preserve"> </w:t>
      </w:r>
      <w:r>
        <w:rPr>
          <w:rFonts w:ascii="Leelawadee UI" w:hAnsi="Leelawadee UI" w:eastAsia="Leelawadee UI" w:cs="Leelawadee UI"/>
        </w:rPr>
        <w:t>ចរិតលក្ខណៈ</w:t>
      </w:r>
      <w:r>
        <w:rPr>
          <w:rFonts w:ascii="Times New Roman" w:hAnsi="Times New Roman" w:eastAsia="Times New Roman" w:cs="Times New Roman"/>
        </w:rPr>
        <w:t xml:space="preserve"> </w:t>
      </w:r>
      <w:r>
        <w:rPr>
          <w:rFonts w:ascii="Leelawadee UI" w:hAnsi="Leelawadee UI" w:eastAsia="Leelawadee UI" w:cs="Leelawadee UI"/>
        </w:rPr>
        <w:t>ដែលត្រូវបានតំណាងដោយប្រេងនោះ</w:t>
      </w:r>
      <w:r>
        <w:rPr>
          <w:rFonts w:ascii="Times New Roman" w:hAnsi="Times New Roman" w:eastAsia="Times New Roman" w:cs="Times New Roman"/>
        </w:rPr>
        <w:t xml:space="preserve"> </w:t>
      </w:r>
      <w:r>
        <w:rPr>
          <w:rFonts w:ascii="Leelawadee UI" w:hAnsi="Leelawadee UI" w:eastAsia="Leelawadee UI" w:cs="Leelawadee UI"/>
        </w:rPr>
        <w:t>មិនអាចផ្ទេរទៅឲ្យគ្នាបានឡើយ</w:t>
      </w:r>
      <w:r>
        <w:rPr>
          <w:rFonts w:ascii="Times New Roman" w:hAnsi="Times New Roman" w:eastAsia="Times New Roman" w:cs="Times New Roman"/>
        </w:rPr>
        <w:t>»</w:t>
      </w:r>
      <w:r>
        <w:rPr>
          <w:rFonts w:ascii="Leelawadee UI" w:hAnsi="Leelawadee UI" w:eastAsia="Leelawadee UI" w:cs="Leelawadee UI"/>
        </w:rPr>
        <w:t>។</w:t>
      </w:r>
      <w:r>
        <w:rPr>
          <w:rFonts w:ascii="Times New Roman" w:hAnsi="Times New Roman" w:eastAsia="Times New Roman" w:cs="Times New Roman"/>
        </w:rPr>
        <w:t xml:space="preserve"> Bible Echo, May 4, 1896.</w:t>
      </w:r>
    </w:p>
    <w:p>
      <w:pPr>
        <w:pStyle w:val="ArticleBody"/>
        <w:jc w:val="left"/>
      </w:pPr>
      <w:r>
        <w:rPr>
          <w:rFonts w:ascii="Times New Roman" w:hAnsi="Times New Roman" w:eastAsia="Times New Roman" w:cs="Times New Roman"/>
        </w:rPr>
        <w:t>Dalam petikan itu dua pertanyaan telah diajukan. Siapakah yang sedang merasakan penderitaan jiwa untuk membangunkan mereka? Suara apakah yang dapat menjangkau mereka?</w:t>
      </w:r>
    </w:p>
    <w:p>
      <w:pPr>
        <w:pStyle w:val="ArticleBody"/>
        <w:jc w:val="left"/>
      </w:pPr>
      <w:r>
        <w:rPr>
          <w:rFonts w:ascii="Times New Roman" w:hAnsi="Times New Roman" w:eastAsia="Times New Roman" w:cs="Times New Roman"/>
        </w:rPr>
        <w:t>Le « voix » qui réveille le monde est la seconde voix d’Apocalypse dix-huit, qui appelle l’autre troupeau de Dieu à sortir de Babylone. Le peuple de Dieu aussi bien que le monde ont besoin d’être réveillés par le Cri de Minuit, qui n’est rien d’autre qu’un autre symbole de la pluie de l’arrière-saison.</w:t>
      </w:r>
    </w:p>
    <w:p>
      <w:pPr>
        <w:pStyle w:val="ArticleBody"/>
        <w:jc w:val="left"/>
      </w:pPr>
      <w:r>
        <w:rPr>
          <w:rFonts w:ascii="Times New Roman" w:hAnsi="Times New Roman" w:eastAsia="Times New Roman" w:cs="Times New Roman"/>
        </w:rPr>
        <w:t>Les millérites avaient-ils raison d’affirmer qu’aux jours du quatrième royaume, le Christ établirait un royaume éternel ? Oui.</w:t>
      </w:r>
    </w:p>
    <w:p>
      <w:pPr>
        <w:pStyle w:val="ArticleBody"/>
        <w:jc w:val="left"/>
      </w:pPr>
      <w:r>
        <w:rPr>
          <w:rFonts w:ascii="Times New Roman" w:hAnsi="Times New Roman" w:eastAsia="Times New Roman" w:cs="Times New Roman"/>
        </w:rPr>
        <w:t>فف نے اپنے “فضل” کی بادشاہی صلیب پر قائم کی، اور یہ بائبل کی نبوت کے چوتھے بادشاہی کے تاریخی دور میں ہوا۔ وہ بادشاہی بت پرست روم تھی۔ کیا دانی ایل باب دو میں، تھیاتیرہ کی کلیسیا سے پہلے واقع ہونے والی ارتداد کی نمائندگی کی گئی ہے؟ ہاں، کیونکہ وہ مٹی جو خدا کے لوگوں کی نمائندگی کرتی ہے، مٹی سے بدل کر دلدلی مٹی ہو گئی۔ پس اس پیکر میں تھیاتیرہ کہاں ہے؟ یا کیا وہ سرے سے اس پیکر میں ہے بھی؟ اس کی نمائندگی اس پیکر میں موجود ہے، اور نبوکدنضر اس حقیقت پر روشنی ڈالتا ہے جب وہ دانی ایل باب چار میں اپنے متکبرانہ غرور کے عروج تک پہنچتا ہے۔</w:t>
      </w:r>
    </w:p>
    <w:p>
      <w:pPr>
        <w:pStyle w:val="ArticleScripture"/>
        <w:jc w:val="left"/>
      </w:pPr>
      <w:r>
        <w:rPr>
          <w:rFonts w:ascii="Times New Roman" w:hAnsi="Times New Roman" w:eastAsia="Times New Roman" w:cs="Times New Roman"/>
        </w:rPr>
        <w:t>Le roi prit la parole et dit : N’est-ce pas ici Babylone la grande, que j’ai bâtie pour en faire la demeure royale, par la puissance de ma force et pour la gloire de ma majesté ? Daniel 4:30.</w:t>
      </w:r>
    </w:p>
    <w:p>
      <w:pPr>
        <w:pStyle w:val="ArticleBody"/>
        <w:jc w:val="left"/>
      </w:pPr>
      <w:r>
        <w:rPr>
          <w:rFonts w:ascii="Times New Roman" w:hAnsi="Times New Roman" w:eastAsia="Times New Roman" w:cs="Times New Roman"/>
        </w:rPr>
        <w:t>Fa gairebé just abans del judici de Nabucodonosor de dos mil cinc-cents vint dies vivint com una bèstia del camp, ell va manifestar el seu orgull en preguntar si havia estat o no ell qui havia edificat el regne que és Babilònia la gran. La prostituta de Revelació disset té escrit al seu front: «MISTERI, BABILÒNIA LA GRAN, LA MARE DE LES PROSTITUTES I DE LES ABOMINACIONS DE LA TERRA». L’església romana, tal com la germana White l’anomena, és Babilònia la Gran. El cap d’or de la imatge representa la Babilònia literal i també representa la Babilònia espiritual, el cinquè regne de la profecia bíblica que té la característica singular de ser el poder que va rebre una ferida mortal. A Isaïes vint-i-tres, el poder papal, representat com a Tir, seria oblidat durant setanta anys com els dies d’un rei. La Babilònia literal representada per Nabucodonosor també va rebre una ferida mortal que fou guarida quan Nabucodonosor fou bandejat del seu regne durant dos mil cinc-cents vint dies. La Babilònia literal, la gran, tipificava la Babilònia espiritual, la gran, i a totes dues els seus regnes els foren retirats temporalment, i després restaurats. La prostituta de Revelació disset no tenia a la mà una copa de plata, ni una de bronze o de ferro; tenia una copa d’or.</w:t>
      </w:r>
    </w:p>
    <w:p>
      <w:pPr>
        <w:pStyle w:val="ArticleScripture"/>
        <w:jc w:val="left"/>
      </w:pPr>
      <w:r>
        <w:rPr>
          <w:rFonts w:ascii="Times New Roman" w:hAnsi="Times New Roman" w:eastAsia="Times New Roman" w:cs="Times New Roman"/>
        </w:rPr>
        <w:t>Na nʼzadi yango alata bilamba ya motane ya violeti mpe ya motane makasi, mpe amibongisa na wolo mpe mabanga ya motuya mpe mayaka; azalaki na kopo ya wolo na loboko na ye, etondi na biloko ya nsɔni mpe na bosɔtɔ ya pite na ye. Emoniseli 17:4.</w:t>
      </w:r>
    </w:p>
    <w:p>
      <w:pPr>
        <w:pStyle w:val="ArticleBody"/>
        <w:jc w:val="left"/>
      </w:pPr>
      <w:r>
        <w:rPr>
          <w:rFonts w:ascii="Times New Roman" w:hAnsi="Times New Roman" w:eastAsia="Times New Roman" w:cs="Times New Roman"/>
        </w:rPr>
        <w:t>L’or représentait Babylone littérale, et il représente aussi Babylone spirituelle, le cinquième royaume de la prophétie biblique, qui reçut une blessure mortelle en 1798, lorsque le sixième royaume de la prophétie biblique monta sur le trône. Dans la statue, Babylone littérale fut suivie d’un royaume d’argent composé de deux puissances, les Mèdes et les Perses, et la corne perse, dans Daniel huit, s’éleva la dernière et plus haut. Darius le Mède fut la première corne, et son général, Cyrus, était un Perse qui finirait par parvenir au pouvoir après le roi mède Darius.</w:t>
      </w:r>
    </w:p>
    <w:p>
      <w:pPr>
        <w:pStyle w:val="ArticleBody"/>
        <w:jc w:val="left"/>
      </w:pPr>
      <w:r>
        <w:rPr>
          <w:rFonts w:ascii="Times New Roman" w:hAnsi="Times New Roman" w:eastAsia="Times New Roman" w:cs="Times New Roman"/>
        </w:rPr>
        <w:t>Cyrus était une figure du Christ, qui devait commencer le processus de délivrance du peuple de Dieu de la captivité. L’empire médo-perse représente le sixième royaume de la prophétie biblique, lequel est les États-Unis. Les États-Unis ont deux cornes représentant le républicanisme et le protestantisme. Darius représente la corne républicaine des États-Unis, et Cyrus représente la corne du protestantisme. De même que Cyrus commença le processus de libération du peuple de Dieu afin de rebâtir Jérusalem et le temple, de même les États-Unis furent le pays suscité pour libérer les captifs de la captivité de Babylone spirituelle, afin d’ériger le temple spirituel, dont les millérites posèrent le fondement. La captivité littérale à Babylone, qui dura soixante-dix ans, préfigurait la captivité dans la Babylone spirituelle pendant mille deux cent soixante ans. Les États-Unis sont les épaules d’argent dans l’image de Nebucadnetsar.</w:t>
      </w:r>
    </w:p>
    <w:p>
      <w:pPr>
        <w:pStyle w:val="ArticleBody"/>
        <w:jc w:val="left"/>
      </w:pPr>
      <w:r>
        <w:rPr>
          <w:rFonts w:ascii="Times New Roman" w:hAnsi="Times New Roman" w:eastAsia="Times New Roman" w:cs="Times New Roman"/>
        </w:rPr>
        <w:t>Le troisième royaume d’airain était la Grèce, qui représente un royaume mondial. Ce royaume est les Nations Unies, lesquelles, dans Apocalypse dix-sept, constituent le royaume qui, en 1798, n’était pas encore venu. Les dix rois d’Apocalypse dix-sept conviennent de donner leur royaume à la papauté, le huitième royaume, qui est issu des sept. Ils concluent cet accord parce qu’ils y sont contraints par les États-Unis, et parce que le monde est détruit par les « quatre vents » de l’islam, qui sont relâchés durant le temps de la pluie de l’arrière-saison, laquelle commence à être pleinement répandue lors de la loi du dimanche aux États-Unis.</w:t>
      </w:r>
    </w:p>
    <w:p>
      <w:pPr>
        <w:pStyle w:val="ArticleBody"/>
        <w:jc w:val="left"/>
      </w:pPr>
      <w:r>
        <w:rPr>
          <w:rFonts w:ascii="Times New Roman" w:hAnsi="Times New Roman" w:eastAsia="Times New Roman" w:cs="Times New Roman"/>
        </w:rPr>
        <w:t>Pe ngeeruwe lawol Alahade e Dowrowol Laawol Merikaa, Alla darnii laamu makko ɗum “teddungal,” nde o ƴefti yimɓe makko no alama ngam noddaade ɓiɓɓe Alla goɗɓe maɓɓe ngilla Baabilon. Ndeen, ɗanndol Protestantisam ƴiɗi cakitorde mum ɓennirde, kadi ɗum ɓurii ɗanndol ɗanndol arande, ko ɗum waɗi no nanndiral e ɗiɗi ɗanndol Medo-Persiya. Soomi Murtunde Leydiiji Hakkunde e jammaaji adii ko waɗi ngam hokkaade Paapanci laawol ɗowirde aduna oo, nayhen Islaam ɗiin nayi ɗiin waɗɗita, kadi laamu aduna oo foti e konngol baɗte ɗeƴngu nde ɗanndol arande Giriis saayi, nde ɗum yankaa, nde ɗum addi nay ɗanndol.</w:t>
      </w:r>
    </w:p>
    <w:p>
      <w:pPr>
        <w:pStyle w:val="ArticleBody"/>
        <w:jc w:val="left"/>
      </w:pPr>
      <w:r>
        <w:rPr>
          <w:rFonts w:ascii="Times New Roman" w:hAnsi="Times New Roman" w:eastAsia="Times New Roman" w:cs="Times New Roman"/>
        </w:rPr>
        <w:t>Lorsque l’image atteint les pieds de fer (l’art de gouverner) et d’argile mêlée de boue (le pouvoir ecclésiastique), ainsi que les dix orteils (dix rois), la pierre qui a été détachée de la montagne sans le secours d’aucune main frappe les pieds de l’image. Les millérites furent exacts au sujet de l’image de Daniel, dans la mesure où ils pouvaient l’être depuis leur position dans l’histoire prophétique. Mais l’Alpha et l’Oméga illustre toujours la fin par le commencement, et les quatre royaumes de l’image de Nebucadnetsar représentent quatre royaumes littéraux qui préfigurent leurs contreparties spirituelles à la fin du monde.</w:t>
      </w:r>
    </w:p>
    <w:p>
      <w:pPr>
        <w:pStyle w:val="ArticleBody"/>
        <w:jc w:val="left"/>
      </w:pPr>
      <w:r>
        <w:rPr>
          <w:rFonts w:ascii="Times New Roman" w:hAnsi="Times New Roman" w:eastAsia="Times New Roman" w:cs="Times New Roman"/>
        </w:rPr>
        <w:t>Ndî bimuma bya mateka, Roma igaragara nk’iya munani kandi ikomoka muri birindwi. Muri Daniyeli 7, Roma igaragara nk’iya munani kandi ikomoka muri birindwi. Muri Daniyeli 8, Roma igaragara nk’iya munani kandi ikomoka muri birindwi. Muri Ibyahishuwe 17, Roma igaragara nk’iya munani kandi ikomoka muri birindwi. Muri Daniyeli 2, hagaragaza ubwa mbere ubwami bwo mu buhanuzi bwa Bibiliya, Roma ya none yo mu buryo bw’umwuka igaragara nk’iya munani kandi ikomoka muri birindwi. Ishusho ya mbere (Alufa) y’ubwami bwo mu buhanuzi bwa Bibiliya iranga iya nyuma (Omega).</w:t>
      </w:r>
    </w:p>
    <w:p>
      <w:pPr>
        <w:pStyle w:val="ArticleScripture"/>
        <w:jc w:val="left"/>
      </w:pPr>
      <w:r>
        <w:rPr>
          <w:rFonts w:ascii="Times New Roman" w:hAnsi="Times New Roman" w:eastAsia="Times New Roman" w:cs="Times New Roman"/>
        </w:rPr>
        <w:t>«موږ داسې زمانې ته رسېدلي یو چې د خدای مقدس کار په هغه مجسمه کې د پښو له خوا تمثیلېږي چې په کې اوسپنه له خټې سره ګډه شوې وه. خدای یو قوم لري، یو غوره شوی قوم، چې د هغوی تمییز باید مقدس کړل شي، او هغوی باید د بنسټ پر سر د لرګیو، واښو او بوسو په اېښودلو سره ناپاک نه شي. هره نفس چې د خدای د حکمونو په وړاندې وفاداره وي، به وویني چې زموږ د ایمان ځانګړې نښه د اوومې ورځې سبت دی. که حکومت سبت ته هغه درناوی ورکړي لکه څنګه چې خدای امر کړی، نو دا به د خدای په ځواک کې ودرېږي او د هغه ایمان په دفاع کې به وي چې یو ځل مقدسینو ته سپارل شوی و. خو دولتي رجال به د جعلي سبت ملاتړ وکړي، او خپله مذهبي عقیده به د دې د پاپیت ماشوم د مراعات کولو سره ګډه کړي، او هغه به د هغه سبت څخه پورته کېږدي چې څښتن مقدس کړی او برکت یې ورکړی، او د دې لپاره یې بېل کړی چې انسان یې مقدس وساتي، د هغه او د هغه د قوم تر منځ تر زرو نسلونو پورې د یوې نښې په توګه. د کلیسایي چلولارې او دولتي سیاست ګډول د اوسپنې او خټې له خوا تمثیلېږي. دا اتحاد د کلیساوو ټول ځواک کمزوری کوي. کلیسا ته د دولت د ځواک سپارل به ناوړې پایلې راوړي. انسانان نږدې د خدای د زغم له پولې اوښتي دي. هغوی خپل ځواک په سیاست کې لګولی، او له پاپیت سره یو شوي دي. خو هغه وخت به راشي چې خدای به هغو کسانو ته سزا ورکړي چې د هغه شریعت یې باطل کړی، او د هغوی ناوړه کار به بېرته پر خپله ځان راواوړي.» The Seventh-day Adventist Bible Commentary, volume 4, 1168.</w:t>
      </w:r>
    </w:p>
    <w:p>
      <w:pPr>
        <w:pStyle w:val="ArticleBody"/>
        <w:jc w:val="left"/>
      </w:pPr>
      <w:r>
        <w:rPr>
          <w:rFonts w:ascii="Times New Roman" w:hAnsi="Times New Roman" w:eastAsia="Times New Roman" w:cs="Times New Roman"/>
        </w:rPr>
        <w:t>L’Alfa e l’Omega ha reso “nuova” la corretta comprensione pionieristica di Daniele 2.</w:t>
      </w:r>
    </w:p>
    <w:p>
      <w:pPr>
        <w:pStyle w:val="ArticleScripture"/>
        <w:jc w:val="left"/>
      </w:pPr>
      <w:r>
        <w:rPr>
          <w:rFonts w:ascii="Times New Roman" w:hAnsi="Times New Roman" w:eastAsia="Times New Roman" w:cs="Times New Roman"/>
        </w:rPr>
        <w:t>Et celui qui était assis sur le trône dit : Voici, je fais toutes choses nouvelles. Et il me dit : Écris ; car ces paroles sont certaines et véritables. Et il me dit : C’est fait. Je suis l’Alpha et l’Oméga, le commencement et la fin. À celui qui a soif, je donnerai gratuitement de la source de l’eau de la vie. Apocalypse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 huitième est issu des sept — numéro trois</dc:title>
  <dc:subject>Даниил хоёр</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